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3F0C" w14:textId="77777777" w:rsidR="00B47F3D" w:rsidRDefault="00B47F3D" w:rsidP="00B47F3D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agInnovation Northeast Comments on the Research Facilities Act (RFA)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Submitted by Rick Rhodes (</w:t>
      </w:r>
      <w:hyperlink r:id="rId4" w:history="1">
        <w:r w:rsidRPr="00B47F3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rcrhodes@uri.edu</w:t>
        </w:r>
      </w:hyperlink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28E114A" w14:textId="692E6FA7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="00035F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concur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comments submitted by our agInnovation colleagues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offer the following regionally focused recommendations to ensure equitable participation, institutional parity, and balanced geographic distribution of funds in support of U.S. agricultural competitiveness and resilience.</w:t>
      </w:r>
    </w:p>
    <w:p w14:paraId="2F3A2391" w14:textId="32F1358B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Northeast Land-grant system includes both large, research-intensive universities with extensive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gricultural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xperiment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tation networks and smaller Land-grant institutions with modest infrastructure footprints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region contains some of the nation’s oldest agricultural research facilities, many requiring modernization to sustain </w:t>
      </w:r>
      <w:r w:rsidR="00035F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U.S.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leadership in agricultural science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 design must ensure institutions of varying scale and fiscal capacity can participate equitably in this generational investment.</w:t>
      </w:r>
    </w:p>
    <w:p w14:paraId="647349CA" w14:textId="25928F3C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statutory nonfederal match requirement is a significant barrier, particularly in high-cost states and for institutions without substantial capital reserves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maximize national return on investment, NIFA should allow flexibility in how match is structured, including in-kind contributions, state bond funds, philanthropic support, multi-source matches, and prior planning or feasibility expenditures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Institutions should be permitted to fulfill match requirements by the end of the award period rather than at the time of award, with flexibility for extensions when justified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Institutions exceeding the minimum match</w:t>
      </w:r>
      <w:r w:rsidR="00035F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requirement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should not receive preferential scoring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Without such flexibility, the RFA risks concentrating awards in states with greater capital liquidity rather than directing investments to areas of highest infrastructure need and strategic impact.</w:t>
      </w:r>
    </w:p>
    <w:p w14:paraId="35E2BB9A" w14:textId="1C03F35B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Institutional parity must be protected to ensure a balanced national research portfolio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Parity should be evaluated at the institutional level rather than assumed at the state or regional aggregate level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one institution within a state or region receives multiple large awards, others in that geography should not be disadvantaged in subsequent competitions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Proposals should be assessed on </w:t>
      </w:r>
      <w:r w:rsidR="00035F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demonstrated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infrastructure need, readiness, and potential impact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Regional infrastructure assessments, </w:t>
      </w:r>
      <w:proofErr w:type="spell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EPSCoR</w:t>
      </w:r>
      <w:proofErr w:type="spell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classifications, and historical federal investment patterns should inform funding decisions to avoid concentration and strengthen the entire Land-grant system.</w:t>
      </w:r>
    </w:p>
    <w:p w14:paraId="5643C807" w14:textId="76077AE7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diversity of infrastructure needs warrants multiple funding pathways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range of award sizes would enable participation across small-, mid-, and large-scale modernization projects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defined portion of funds in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each NOFO should support planning grants for project scoping, cost estimation, and feasibility analysis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Institutions that </w:t>
      </w:r>
      <w:r w:rsidR="007642E8"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receive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smaller awards in prior cycles should remain eligible for future competitions to promote sustained advancement.</w:t>
      </w:r>
    </w:p>
    <w:p w14:paraId="015DA085" w14:textId="2E4F2848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“Shovel-ready” status should not be prioritized unless clearly defined and applied flexibly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 capital authorization and regulatory processes vary widely, and in some </w:t>
      </w:r>
      <w:r w:rsidR="007642E8"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jurisdictions,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planning cannot proceed until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funding is secured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rigid readiness standard could unintentionally disadvantage institutions operating within restrictive approval systems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considered, criteria should be transparent and adaptable to differing governance structures.</w:t>
      </w:r>
    </w:p>
    <w:p w14:paraId="7FE3B7F9" w14:textId="088D184A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Northeast’s geographic density and interconnected agricultural systems create opportunities for shared infrastructure models that generate multi-institutional benefit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NIFA should encourage regional collaboration where appropriate, while ensuring institutions are not penalized if shared models are impractical. </w:t>
      </w:r>
    </w:p>
    <w:p w14:paraId="5E15CB5C" w14:textId="4E39B506" w:rsidR="00B47F3D" w:rsidRPr="00B47F3D" w:rsidRDefault="00B47F3D" w:rsidP="00B47F3D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Eligibility should remain focused on Land-grant institutions receiving capacity funding, with careful secondary consideration of public institutions with established colleges of agriculture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RFA should explicitly include off-campus Experiment Station facilities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Historic renovations should remain eligible when mission-critical and strategically justified, recognizing that modernization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be as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cost-effective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replacement. </w:t>
      </w:r>
    </w:p>
    <w:p w14:paraId="05277034" w14:textId="77777777" w:rsidR="00B47F3D" w:rsidRPr="00B47F3D" w:rsidRDefault="00B47F3D" w:rsidP="00B47F3D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Administrative structures must align with capital development realities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Infrastructure modernization operates on multi-year timelines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 periods of at least 48 months, single-year obligation with multi-year drawdown flexibility, and consideration of multi-cycle support for complex projects would reduce risk and improve execution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 timelines should avoid peak staffing constraints and be supported by clear guidance and technical assistance.</w:t>
      </w:r>
    </w:p>
    <w:p w14:paraId="00EEDA81" w14:textId="2664CEC4" w:rsidR="00B47F3D" w:rsidRPr="00B47F3D" w:rsidRDefault="00B47F3D" w:rsidP="00035F2A">
      <w:pPr>
        <w:spacing w:line="480" w:lineRule="auto"/>
        <w:ind w:firstLine="720"/>
      </w:pP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Research Facilities Act represents a strategic federal investment in the nation’s agricultural </w:t>
      </w:r>
      <w:r w:rsidR="00F81C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R&amp;D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backbone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Flexible match structures, institutional-level parity, transparent distribution, and administrative alignment with capital realities will ensure this investment strengthens the entire</w:t>
      </w:r>
      <w:r w:rsidR="00035F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national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Land-grant system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geographically balanced portfolio will enhance U.S. agricultural competitiveness, food system resilience, workforce development, and long-term economic growth</w:t>
      </w:r>
      <w:proofErr w:type="gramStart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agInnovation Northeast stands ready to partner with USDA</w:t>
      </w:r>
      <w:r w:rsidR="007642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B47F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NIFA to advance these shared national objectives.</w:t>
      </w:r>
    </w:p>
    <w:sectPr w:rsidR="00B47F3D" w:rsidRPr="00B47F3D" w:rsidSect="00E45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2"/>
    <w:rsid w:val="00035F2A"/>
    <w:rsid w:val="0015179E"/>
    <w:rsid w:val="001B3CEB"/>
    <w:rsid w:val="001E4BD9"/>
    <w:rsid w:val="002229D4"/>
    <w:rsid w:val="00381718"/>
    <w:rsid w:val="0052385B"/>
    <w:rsid w:val="007642E8"/>
    <w:rsid w:val="00951830"/>
    <w:rsid w:val="00A87652"/>
    <w:rsid w:val="00B47F3D"/>
    <w:rsid w:val="00E451B2"/>
    <w:rsid w:val="00F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4B40"/>
  <w15:chartTrackingRefBased/>
  <w15:docId w15:val="{616F81D1-111C-4EB0-872E-F309779D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F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rhodes@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654</Words>
  <Characters>4572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Rhodes</dc:creator>
  <cp:keywords/>
  <dc:description/>
  <cp:lastModifiedBy>Richard Rhodes</cp:lastModifiedBy>
  <cp:revision>4</cp:revision>
  <cp:lastPrinted>2026-02-12T00:11:00Z</cp:lastPrinted>
  <dcterms:created xsi:type="dcterms:W3CDTF">2026-02-12T00:18:00Z</dcterms:created>
  <dcterms:modified xsi:type="dcterms:W3CDTF">2026-02-12T19:43:00Z</dcterms:modified>
</cp:coreProperties>
</file>