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4337" w14:textId="4D2405CC" w:rsidR="003F7786" w:rsidRPr="00B207B7" w:rsidRDefault="00CE0D5F" w:rsidP="00CE0D5F">
      <w:pPr>
        <w:spacing w:after="0" w:line="240" w:lineRule="auto"/>
        <w:jc w:val="center"/>
        <w:divId w:val="1637029907"/>
        <w:rPr>
          <w:rFonts w:ascii="Times New Roman" w:hAnsi="Times New Roman" w:cs="Times New Roman"/>
          <w:b/>
          <w:bCs/>
          <w:color w:val="000000" w:themeColor="text1"/>
          <w:kern w:val="0"/>
          <w14:ligatures w14:val="none"/>
        </w:rPr>
      </w:pPr>
      <w:r w:rsidRPr="00B207B7">
        <w:rPr>
          <w:rFonts w:ascii="Times New Roman" w:hAnsi="Times New Roman" w:cs="Times New Roman"/>
          <w:b/>
          <w:bCs/>
          <w:color w:val="000000" w:themeColor="text1"/>
          <w:kern w:val="0"/>
          <w14:ligatures w14:val="none"/>
        </w:rPr>
        <w:t xml:space="preserve">Research Facilities Act Grants Program </w:t>
      </w:r>
      <w:r w:rsidR="00F269C1" w:rsidRPr="00B207B7">
        <w:rPr>
          <w:rFonts w:ascii="Times New Roman" w:hAnsi="Times New Roman" w:cs="Times New Roman"/>
          <w:b/>
          <w:bCs/>
          <w:color w:val="000000" w:themeColor="text1"/>
          <w:kern w:val="0"/>
          <w14:ligatures w14:val="none"/>
        </w:rPr>
        <w:t>Recommendations</w:t>
      </w:r>
    </w:p>
    <w:p w14:paraId="402AAEB8" w14:textId="77777777" w:rsidR="00CE0D5F" w:rsidRPr="00B207B7" w:rsidRDefault="00CE0D5F" w:rsidP="000728A5">
      <w:pPr>
        <w:spacing w:after="0" w:line="240" w:lineRule="auto"/>
        <w:divId w:val="1637029907"/>
        <w:rPr>
          <w:rFonts w:ascii="Times New Roman" w:hAnsi="Times New Roman" w:cs="Times New Roman"/>
          <w:b/>
          <w:bCs/>
          <w:color w:val="000000"/>
          <w:kern w:val="0"/>
          <w:u w:val="single"/>
          <w14:ligatures w14:val="none"/>
        </w:rPr>
      </w:pPr>
    </w:p>
    <w:p w14:paraId="14EB17E0" w14:textId="0FB86AD7" w:rsidR="003259E8" w:rsidRPr="00B207B7" w:rsidRDefault="003259E8" w:rsidP="000728A5">
      <w:pPr>
        <w:spacing w:after="0" w:line="240" w:lineRule="auto"/>
        <w:divId w:val="1637029907"/>
        <w:rPr>
          <w:rFonts w:ascii="Times New Roman" w:hAnsi="Times New Roman" w:cs="Times New Roman"/>
          <w:color w:val="000000"/>
          <w:kern w:val="0"/>
          <w14:ligatures w14:val="none"/>
        </w:rPr>
      </w:pPr>
      <w:r w:rsidRPr="00B207B7">
        <w:rPr>
          <w:rFonts w:ascii="Times New Roman" w:hAnsi="Times New Roman" w:cs="Times New Roman"/>
          <w:color w:val="000000"/>
          <w:kern w:val="0"/>
          <w14:ligatures w14:val="none"/>
        </w:rPr>
        <w:t>The following recommendations</w:t>
      </w:r>
      <w:r w:rsidR="00C23B3E" w:rsidRPr="00B207B7">
        <w:rPr>
          <w:rFonts w:ascii="Times New Roman" w:hAnsi="Times New Roman" w:cs="Times New Roman"/>
          <w:color w:val="000000"/>
          <w:kern w:val="0"/>
          <w14:ligatures w14:val="none"/>
        </w:rPr>
        <w:t xml:space="preserve"> for th</w:t>
      </w:r>
      <w:r w:rsidR="004D07AB" w:rsidRPr="00B207B7">
        <w:rPr>
          <w:rFonts w:ascii="Times New Roman" w:hAnsi="Times New Roman" w:cs="Times New Roman"/>
          <w:color w:val="000000"/>
          <w:kern w:val="0"/>
          <w14:ligatures w14:val="none"/>
        </w:rPr>
        <w:t xml:space="preserve">e Research Facilities </w:t>
      </w:r>
      <w:r w:rsidR="00BA5FDE" w:rsidRPr="00B207B7">
        <w:rPr>
          <w:rFonts w:ascii="Times New Roman" w:hAnsi="Times New Roman" w:cs="Times New Roman"/>
          <w:color w:val="000000"/>
          <w:kern w:val="0"/>
          <w14:ligatures w14:val="none"/>
        </w:rPr>
        <w:t>Act (RFA) program</w:t>
      </w:r>
      <w:r w:rsidRPr="00B207B7">
        <w:rPr>
          <w:rFonts w:ascii="Times New Roman" w:hAnsi="Times New Roman" w:cs="Times New Roman"/>
          <w:color w:val="000000"/>
          <w:kern w:val="0"/>
          <w14:ligatures w14:val="none"/>
        </w:rPr>
        <w:t xml:space="preserve"> were developed by </w:t>
      </w:r>
      <w:r w:rsidR="00B37F2F" w:rsidRPr="00B207B7">
        <w:rPr>
          <w:rFonts w:ascii="Times New Roman" w:hAnsi="Times New Roman" w:cs="Times New Roman"/>
          <w:color w:val="000000"/>
          <w:kern w:val="0"/>
          <w14:ligatures w14:val="none"/>
        </w:rPr>
        <w:t xml:space="preserve">the agInnovation Budget and </w:t>
      </w:r>
      <w:r w:rsidR="00881DC8" w:rsidRPr="00B207B7">
        <w:rPr>
          <w:rFonts w:ascii="Times New Roman" w:hAnsi="Times New Roman" w:cs="Times New Roman"/>
          <w:color w:val="000000"/>
          <w:kern w:val="0"/>
          <w14:ligatures w14:val="none"/>
        </w:rPr>
        <w:t>Legislative</w:t>
      </w:r>
      <w:r w:rsidR="00B37F2F" w:rsidRPr="00B207B7">
        <w:rPr>
          <w:rFonts w:ascii="Times New Roman" w:hAnsi="Times New Roman" w:cs="Times New Roman"/>
          <w:color w:val="000000"/>
          <w:kern w:val="0"/>
          <w14:ligatures w14:val="none"/>
        </w:rPr>
        <w:t xml:space="preserve"> Committee (BLC). </w:t>
      </w:r>
      <w:r w:rsidR="00265BC9">
        <w:rPr>
          <w:rFonts w:ascii="Times New Roman" w:hAnsi="Times New Roman" w:cs="Times New Roman"/>
          <w:color w:val="000000"/>
          <w:kern w:val="0"/>
          <w14:ligatures w14:val="none"/>
        </w:rPr>
        <w:t>BLC includes</w:t>
      </w:r>
      <w:r w:rsidR="001E6CD0" w:rsidRPr="00B207B7">
        <w:rPr>
          <w:rFonts w:ascii="Times New Roman" w:hAnsi="Times New Roman" w:cs="Times New Roman"/>
          <w:color w:val="000000"/>
          <w:kern w:val="0"/>
          <w14:ligatures w14:val="none"/>
        </w:rPr>
        <w:t xml:space="preserve"> members from all four </w:t>
      </w:r>
      <w:r w:rsidR="00265BC9">
        <w:rPr>
          <w:rFonts w:ascii="Times New Roman" w:hAnsi="Times New Roman" w:cs="Times New Roman"/>
          <w:color w:val="000000"/>
          <w:kern w:val="0"/>
          <w14:ligatures w14:val="none"/>
        </w:rPr>
        <w:t xml:space="preserve">agInnovation </w:t>
      </w:r>
      <w:r w:rsidR="00094FC5" w:rsidRPr="00B207B7">
        <w:rPr>
          <w:rFonts w:ascii="Times New Roman" w:hAnsi="Times New Roman" w:cs="Times New Roman"/>
          <w:color w:val="000000"/>
          <w:kern w:val="0"/>
          <w14:ligatures w14:val="none"/>
        </w:rPr>
        <w:t xml:space="preserve">geographic </w:t>
      </w:r>
      <w:r w:rsidR="001E6CD0" w:rsidRPr="00B207B7">
        <w:rPr>
          <w:rFonts w:ascii="Times New Roman" w:hAnsi="Times New Roman" w:cs="Times New Roman"/>
          <w:color w:val="000000"/>
          <w:kern w:val="0"/>
          <w14:ligatures w14:val="none"/>
        </w:rPr>
        <w:t xml:space="preserve">regions </w:t>
      </w:r>
      <w:r w:rsidR="00265BC9">
        <w:rPr>
          <w:rFonts w:ascii="Times New Roman" w:hAnsi="Times New Roman" w:cs="Times New Roman"/>
          <w:color w:val="000000"/>
          <w:kern w:val="0"/>
          <w14:ligatures w14:val="none"/>
        </w:rPr>
        <w:t>a</w:t>
      </w:r>
      <w:r w:rsidR="00D61341" w:rsidRPr="00B207B7">
        <w:rPr>
          <w:rFonts w:ascii="Times New Roman" w:hAnsi="Times New Roman" w:cs="Times New Roman"/>
          <w:color w:val="000000"/>
          <w:kern w:val="0"/>
          <w14:ligatures w14:val="none"/>
        </w:rPr>
        <w:t xml:space="preserve">nd the </w:t>
      </w:r>
      <w:r w:rsidR="00533265" w:rsidRPr="00B207B7">
        <w:rPr>
          <w:rFonts w:ascii="Times New Roman" w:hAnsi="Times New Roman" w:cs="Times New Roman"/>
          <w:color w:val="000000"/>
          <w:kern w:val="0"/>
          <w14:ligatures w14:val="none"/>
        </w:rPr>
        <w:t>Association of</w:t>
      </w:r>
      <w:r w:rsidR="00D61341" w:rsidRPr="00B207B7">
        <w:rPr>
          <w:rFonts w:ascii="Times New Roman" w:hAnsi="Times New Roman" w:cs="Times New Roman"/>
          <w:color w:val="000000"/>
          <w:kern w:val="0"/>
          <w14:ligatures w14:val="none"/>
        </w:rPr>
        <w:t xml:space="preserve"> </w:t>
      </w:r>
      <w:r w:rsidR="000728A5" w:rsidRPr="00B207B7">
        <w:rPr>
          <w:rFonts w:ascii="Times New Roman" w:hAnsi="Times New Roman" w:cs="Times New Roman"/>
          <w:color w:val="000000"/>
          <w:kern w:val="0"/>
          <w14:ligatures w14:val="none"/>
        </w:rPr>
        <w:t xml:space="preserve">1890 </w:t>
      </w:r>
      <w:r w:rsidR="00216E4B" w:rsidRPr="00B207B7">
        <w:rPr>
          <w:rFonts w:ascii="Times New Roman" w:hAnsi="Times New Roman" w:cs="Times New Roman"/>
          <w:color w:val="000000"/>
          <w:kern w:val="0"/>
          <w14:ligatures w14:val="none"/>
        </w:rPr>
        <w:t xml:space="preserve">Research </w:t>
      </w:r>
      <w:r w:rsidR="00533265" w:rsidRPr="00B207B7">
        <w:rPr>
          <w:rFonts w:ascii="Times New Roman" w:hAnsi="Times New Roman" w:cs="Times New Roman"/>
          <w:color w:val="000000"/>
          <w:kern w:val="0"/>
          <w14:ligatures w14:val="none"/>
        </w:rPr>
        <w:t>Directors</w:t>
      </w:r>
      <w:r w:rsidR="00216E4B" w:rsidRPr="00B207B7">
        <w:rPr>
          <w:rFonts w:ascii="Times New Roman" w:hAnsi="Times New Roman" w:cs="Times New Roman"/>
          <w:color w:val="000000"/>
          <w:kern w:val="0"/>
          <w14:ligatures w14:val="none"/>
        </w:rPr>
        <w:t>.</w:t>
      </w:r>
      <w:r w:rsidR="004B6378" w:rsidRPr="00B207B7">
        <w:rPr>
          <w:rFonts w:ascii="Times New Roman" w:hAnsi="Times New Roman" w:cs="Times New Roman"/>
          <w:color w:val="000000"/>
          <w:kern w:val="0"/>
          <w14:ligatures w14:val="none"/>
        </w:rPr>
        <w:t xml:space="preserve"> </w:t>
      </w:r>
    </w:p>
    <w:p w14:paraId="2D06D008" w14:textId="560DBEAB" w:rsidR="00E316D1" w:rsidRPr="00B207B7" w:rsidRDefault="00E316D1" w:rsidP="000728A5">
      <w:pPr>
        <w:spacing w:after="0" w:line="240" w:lineRule="auto"/>
        <w:divId w:val="1637029907"/>
        <w:rPr>
          <w:rFonts w:ascii="Times New Roman" w:hAnsi="Times New Roman" w:cs="Times New Roman"/>
          <w:color w:val="000000"/>
          <w:kern w:val="0"/>
          <w14:ligatures w14:val="none"/>
        </w:rPr>
      </w:pPr>
    </w:p>
    <w:p w14:paraId="4099272C" w14:textId="05218450" w:rsidR="005827D3" w:rsidRPr="00B207B7" w:rsidRDefault="005827D3" w:rsidP="000728A5">
      <w:pPr>
        <w:spacing w:after="0" w:line="240" w:lineRule="auto"/>
        <w:divId w:val="1637029907"/>
        <w:rPr>
          <w:rFonts w:ascii="Times New Roman" w:hAnsi="Times New Roman" w:cs="Times New Roman"/>
          <w:b/>
          <w:bCs/>
          <w:color w:val="000000"/>
          <w:kern w:val="0"/>
          <w:u w:val="single"/>
          <w14:ligatures w14:val="none"/>
        </w:rPr>
      </w:pPr>
      <w:r w:rsidRPr="00B207B7">
        <w:rPr>
          <w:rFonts w:ascii="Times New Roman" w:hAnsi="Times New Roman" w:cs="Times New Roman"/>
          <w:b/>
          <w:bCs/>
          <w:color w:val="000000"/>
          <w:kern w:val="0"/>
          <w:u w:val="single"/>
          <w14:ligatures w14:val="none"/>
        </w:rPr>
        <w:t xml:space="preserve">Eligibility </w:t>
      </w:r>
      <w:r w:rsidR="00A45084">
        <w:rPr>
          <w:rFonts w:ascii="Times New Roman" w:hAnsi="Times New Roman" w:cs="Times New Roman"/>
          <w:b/>
          <w:bCs/>
          <w:color w:val="000000"/>
          <w:kern w:val="0"/>
          <w:u w:val="single"/>
          <w14:ligatures w14:val="none"/>
        </w:rPr>
        <w:t xml:space="preserve">and Funding </w:t>
      </w:r>
      <w:r w:rsidR="008174C4" w:rsidRPr="00B207B7">
        <w:rPr>
          <w:rFonts w:ascii="Times New Roman" w:hAnsi="Times New Roman" w:cs="Times New Roman"/>
          <w:b/>
          <w:bCs/>
          <w:color w:val="000000"/>
          <w:kern w:val="0"/>
          <w:u w:val="single"/>
          <w14:ligatures w14:val="none"/>
        </w:rPr>
        <w:t>Considerations</w:t>
      </w:r>
    </w:p>
    <w:p w14:paraId="38660CCE" w14:textId="77777777" w:rsidR="005827D3" w:rsidRPr="00B207B7" w:rsidRDefault="005827D3" w:rsidP="000728A5">
      <w:pPr>
        <w:spacing w:after="0" w:line="240" w:lineRule="auto"/>
        <w:divId w:val="1637029907"/>
        <w:rPr>
          <w:rFonts w:ascii="Times New Roman" w:hAnsi="Times New Roman" w:cs="Times New Roman"/>
          <w:b/>
          <w:bCs/>
          <w:color w:val="000000"/>
          <w:kern w:val="0"/>
          <w14:ligatures w14:val="none"/>
        </w:rPr>
      </w:pPr>
    </w:p>
    <w:p w14:paraId="11B4B113" w14:textId="161AA725" w:rsidR="00693B95" w:rsidRPr="00612B85" w:rsidRDefault="0034559A" w:rsidP="000728A5">
      <w:pPr>
        <w:spacing w:after="0" w:line="240" w:lineRule="auto"/>
        <w:divId w:val="1637029907"/>
        <w:rPr>
          <w:rFonts w:ascii="Times New Roman" w:hAnsi="Times New Roman" w:cs="Times New Roman"/>
          <w:color w:val="000000" w:themeColor="text1"/>
          <w:kern w:val="0"/>
          <w14:ligatures w14:val="none"/>
        </w:rPr>
      </w:pPr>
      <w:r w:rsidRPr="00FD7A6A">
        <w:rPr>
          <w:rFonts w:ascii="Times New Roman" w:hAnsi="Times New Roman" w:cs="Times New Roman"/>
          <w:color w:val="000000" w:themeColor="text1"/>
          <w:kern w:val="0"/>
          <w14:ligatures w14:val="none"/>
        </w:rPr>
        <w:t xml:space="preserve">Per the </w:t>
      </w:r>
      <w:r w:rsidR="000648CB" w:rsidRPr="00FD7A6A">
        <w:rPr>
          <w:rFonts w:ascii="Times New Roman" w:hAnsi="Times New Roman" w:cs="Times New Roman"/>
          <w:color w:val="000000" w:themeColor="text1"/>
          <w:kern w:val="0"/>
          <w14:ligatures w14:val="none"/>
        </w:rPr>
        <w:t xml:space="preserve">Public Law </w:t>
      </w:r>
      <w:r w:rsidR="00500198" w:rsidRPr="00FD7A6A">
        <w:rPr>
          <w:rFonts w:ascii="Times New Roman" w:hAnsi="Times New Roman" w:cs="Times New Roman"/>
          <w:color w:val="000000" w:themeColor="text1"/>
          <w:kern w:val="0"/>
          <w14:ligatures w14:val="none"/>
        </w:rPr>
        <w:t>119-</w:t>
      </w:r>
      <w:r w:rsidR="00FD7A6A" w:rsidRPr="00FD7A6A">
        <w:rPr>
          <w:rFonts w:ascii="Times New Roman" w:hAnsi="Times New Roman" w:cs="Times New Roman"/>
          <w:color w:val="000000" w:themeColor="text1"/>
          <w:kern w:val="0"/>
          <w14:ligatures w14:val="none"/>
        </w:rPr>
        <w:t>21</w:t>
      </w:r>
      <w:r w:rsidR="000648CB" w:rsidRPr="00FD7A6A">
        <w:rPr>
          <w:rFonts w:ascii="Times New Roman" w:hAnsi="Times New Roman" w:cs="Times New Roman"/>
          <w:color w:val="000000" w:themeColor="text1"/>
          <w:kern w:val="0"/>
          <w14:ligatures w14:val="none"/>
        </w:rPr>
        <w:t xml:space="preserve">, Research Facilities Act, </w:t>
      </w:r>
      <w:r w:rsidR="00612B85" w:rsidRPr="00FD7A6A">
        <w:rPr>
          <w:rFonts w:ascii="Times New Roman" w:hAnsi="Times New Roman" w:cs="Times New Roman"/>
          <w:color w:val="000000" w:themeColor="text1"/>
          <w:kern w:val="0"/>
          <w14:ligatures w14:val="none"/>
        </w:rPr>
        <w:t>proposal submission and funding e</w:t>
      </w:r>
      <w:r w:rsidR="00693B95" w:rsidRPr="00FD7A6A">
        <w:rPr>
          <w:rFonts w:ascii="Times New Roman" w:hAnsi="Times New Roman" w:cs="Times New Roman"/>
          <w:color w:val="000000" w:themeColor="text1"/>
          <w:kern w:val="0"/>
          <w14:ligatures w14:val="none"/>
        </w:rPr>
        <w:t>ligibility should be limited to Land-grant institutions that receive capacity funding. Secondarily, consideration could be given to a limited number of public institutions with established colleges of agriculture.</w:t>
      </w:r>
      <w:r w:rsidR="00612B85" w:rsidRPr="00612B85">
        <w:rPr>
          <w:rFonts w:ascii="Times New Roman" w:hAnsi="Times New Roman" w:cs="Times New Roman"/>
          <w:color w:val="000000" w:themeColor="text1"/>
          <w:kern w:val="0"/>
          <w14:ligatures w14:val="none"/>
        </w:rPr>
        <w:t xml:space="preserve"> </w:t>
      </w:r>
    </w:p>
    <w:p w14:paraId="19D8FE23" w14:textId="77777777" w:rsidR="00693B95" w:rsidRDefault="00693B95" w:rsidP="000728A5">
      <w:pPr>
        <w:spacing w:after="0" w:line="240" w:lineRule="auto"/>
        <w:divId w:val="1637029907"/>
        <w:rPr>
          <w:rFonts w:ascii="Times New Roman" w:hAnsi="Times New Roman" w:cs="Times New Roman"/>
          <w:b/>
          <w:bCs/>
          <w:color w:val="000000" w:themeColor="text1"/>
          <w:kern w:val="0"/>
          <w14:ligatures w14:val="none"/>
        </w:rPr>
      </w:pPr>
    </w:p>
    <w:p w14:paraId="2DD55F20" w14:textId="07AF07E3" w:rsidR="00F66E06" w:rsidRPr="004C269A" w:rsidRDefault="00110E60" w:rsidP="000728A5">
      <w:pPr>
        <w:spacing w:after="0" w:line="240" w:lineRule="auto"/>
        <w:rPr>
          <w:rFonts w:ascii="Times New Roman" w:hAnsi="Times New Roman" w:cs="Times New Roman"/>
          <w:color w:val="000000"/>
          <w:kern w:val="0"/>
          <w14:ligatures w14:val="none"/>
        </w:rPr>
      </w:pPr>
      <w:r w:rsidRPr="004C269A">
        <w:rPr>
          <w:rFonts w:ascii="Times New Roman" w:hAnsi="Times New Roman" w:cs="Times New Roman"/>
          <w:color w:val="000000"/>
          <w:kern w:val="0"/>
          <w14:ligatures w14:val="none"/>
        </w:rPr>
        <w:t>Prioritize proposals that clearly articulate alignment with long-term institutional goals. This approach ensures that RFA-funded projects are relevant, community-informed, and responsive to the agricultural sectors and institutions they serve. Proposals should clearly justify how investments address state and regional agricultural needs and deliver the greatest return on investment for U.S. agriculture.</w:t>
      </w:r>
    </w:p>
    <w:p w14:paraId="1AA62EAD" w14:textId="77777777" w:rsidR="005B4B9F" w:rsidRDefault="005B4B9F" w:rsidP="000728A5">
      <w:pPr>
        <w:spacing w:after="0" w:line="240" w:lineRule="auto"/>
        <w:rPr>
          <w:rFonts w:ascii="Times New Roman" w:hAnsi="Times New Roman" w:cs="Times New Roman"/>
          <w:b/>
          <w:bCs/>
          <w:color w:val="000000"/>
          <w:kern w:val="0"/>
          <w14:ligatures w14:val="none"/>
        </w:rPr>
      </w:pPr>
    </w:p>
    <w:p w14:paraId="0DEAB2F8" w14:textId="55A0D518" w:rsidR="00341B92" w:rsidRDefault="00341B92" w:rsidP="000728A5">
      <w:pPr>
        <w:spacing w:after="0" w:line="240" w:lineRule="auto"/>
        <w:divId w:val="1637029907"/>
        <w:rPr>
          <w:rFonts w:ascii="Times New Roman" w:hAnsi="Times New Roman" w:cs="Times New Roman"/>
          <w:color w:val="000000"/>
          <w:kern w:val="0"/>
          <w14:ligatures w14:val="none"/>
        </w:rPr>
      </w:pPr>
      <w:r w:rsidRPr="00C07715">
        <w:rPr>
          <w:rFonts w:ascii="Times New Roman" w:hAnsi="Times New Roman" w:cs="Times New Roman"/>
          <w:color w:val="000000"/>
          <w:kern w:val="0"/>
          <w14:ligatures w14:val="none"/>
        </w:rPr>
        <w:t>Proposals should be evaluated based on an institution’s specific needs, capacity, and history of prior awards—not solely on geographic location. For example, if one institution within a state has received multiple RFA awards totaling $25 million, another institution in the same state should not be disadvantaged simply because the state has already received significant funding. Each institution’s needs, readiness, and potential contributions should be assessed independently.</w:t>
      </w:r>
    </w:p>
    <w:p w14:paraId="500AA3D9" w14:textId="77777777" w:rsidR="00CE51B1" w:rsidRDefault="00CE51B1" w:rsidP="000728A5">
      <w:pPr>
        <w:spacing w:after="0" w:line="240" w:lineRule="auto"/>
        <w:divId w:val="1637029907"/>
        <w:rPr>
          <w:rFonts w:ascii="Times New Roman" w:hAnsi="Times New Roman" w:cs="Times New Roman"/>
          <w:color w:val="000000"/>
          <w:kern w:val="0"/>
          <w14:ligatures w14:val="none"/>
        </w:rPr>
      </w:pPr>
    </w:p>
    <w:p w14:paraId="098573C9" w14:textId="0AE886C6" w:rsidR="00CE51B1" w:rsidRDefault="00CE51B1" w:rsidP="000728A5">
      <w:pPr>
        <w:spacing w:after="0" w:line="240" w:lineRule="auto"/>
        <w:divId w:val="1637029907"/>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Allow institutions to apply for new funding after the expiration of a prior award. At the same time, implement appropriate safeguards to ensure that sequential awards do not inadvertently undermine equity across the overall grants process.</w:t>
      </w:r>
    </w:p>
    <w:p w14:paraId="1B3BDCD0" w14:textId="77777777" w:rsidR="00062566" w:rsidRDefault="00062566" w:rsidP="000728A5">
      <w:pPr>
        <w:spacing w:after="0" w:line="240" w:lineRule="auto"/>
        <w:divId w:val="1637029907"/>
        <w:rPr>
          <w:rFonts w:ascii="Times New Roman" w:hAnsi="Times New Roman" w:cs="Times New Roman"/>
          <w:color w:val="000000"/>
          <w:kern w:val="0"/>
          <w14:ligatures w14:val="none"/>
        </w:rPr>
      </w:pPr>
    </w:p>
    <w:p w14:paraId="356A05F6" w14:textId="28B5F185" w:rsidR="00062566" w:rsidRPr="00C07715" w:rsidRDefault="00217AED" w:rsidP="000728A5">
      <w:pPr>
        <w:spacing w:after="0" w:line="240" w:lineRule="auto"/>
        <w:divId w:val="1637029907"/>
        <w:rPr>
          <w:rFonts w:ascii="Times New Roman" w:hAnsi="Times New Roman" w:cs="Times New Roman"/>
          <w:color w:val="000000"/>
          <w:kern w:val="0"/>
          <w14:ligatures w14:val="none"/>
        </w:rPr>
      </w:pPr>
      <w:r w:rsidRPr="000260D4">
        <w:rPr>
          <w:rFonts w:ascii="Times New Roman" w:hAnsi="Times New Roman" w:cs="Times New Roman"/>
          <w:color w:val="000000"/>
          <w:kern w:val="0"/>
          <w:highlight w:val="yellow"/>
          <w14:ligatures w14:val="none"/>
        </w:rPr>
        <w:t xml:space="preserve">Establish </w:t>
      </w:r>
      <w:r w:rsidR="00B35825" w:rsidRPr="000260D4">
        <w:rPr>
          <w:rFonts w:ascii="Times New Roman" w:hAnsi="Times New Roman" w:cs="Times New Roman"/>
          <w:color w:val="000000"/>
          <w:kern w:val="0"/>
          <w:highlight w:val="yellow"/>
          <w14:ligatures w14:val="none"/>
        </w:rPr>
        <w:t>“</w:t>
      </w:r>
      <w:r w:rsidR="00062566" w:rsidRPr="000260D4">
        <w:rPr>
          <w:rFonts w:ascii="Times New Roman" w:hAnsi="Times New Roman" w:cs="Times New Roman"/>
          <w:color w:val="000000"/>
          <w:kern w:val="0"/>
          <w:highlight w:val="yellow"/>
          <w14:ligatures w14:val="none"/>
        </w:rPr>
        <w:t>planning gran</w:t>
      </w:r>
      <w:r w:rsidRPr="000260D4">
        <w:rPr>
          <w:rFonts w:ascii="Times New Roman" w:hAnsi="Times New Roman" w:cs="Times New Roman"/>
          <w:color w:val="000000"/>
          <w:kern w:val="0"/>
          <w:highlight w:val="yellow"/>
          <w14:ligatures w14:val="none"/>
        </w:rPr>
        <w:t>t</w:t>
      </w:r>
      <w:r w:rsidR="002774EC" w:rsidRPr="000260D4">
        <w:rPr>
          <w:rFonts w:ascii="Times New Roman" w:hAnsi="Times New Roman" w:cs="Times New Roman"/>
          <w:color w:val="000000"/>
          <w:kern w:val="0"/>
          <w:highlight w:val="yellow"/>
          <w14:ligatures w14:val="none"/>
        </w:rPr>
        <w:t>s</w:t>
      </w:r>
      <w:r w:rsidR="00B35825" w:rsidRPr="000260D4">
        <w:rPr>
          <w:rFonts w:ascii="Times New Roman" w:hAnsi="Times New Roman" w:cs="Times New Roman"/>
          <w:color w:val="000000"/>
          <w:kern w:val="0"/>
          <w:highlight w:val="yellow"/>
          <w14:ligatures w14:val="none"/>
        </w:rPr>
        <w:t xml:space="preserve">” as one of the grant types available in </w:t>
      </w:r>
      <w:r w:rsidR="0015189A" w:rsidRPr="000260D4">
        <w:rPr>
          <w:rFonts w:ascii="Times New Roman" w:hAnsi="Times New Roman" w:cs="Times New Roman"/>
          <w:color w:val="000000"/>
          <w:kern w:val="0"/>
          <w:highlight w:val="yellow"/>
          <w14:ligatures w14:val="none"/>
        </w:rPr>
        <w:t>each</w:t>
      </w:r>
      <w:r w:rsidR="00B35825" w:rsidRPr="000260D4">
        <w:rPr>
          <w:rFonts w:ascii="Times New Roman" w:hAnsi="Times New Roman" w:cs="Times New Roman"/>
          <w:color w:val="000000"/>
          <w:kern w:val="0"/>
          <w:highlight w:val="yellow"/>
          <w14:ligatures w14:val="none"/>
        </w:rPr>
        <w:t xml:space="preserve"> RFA NOFO. </w:t>
      </w:r>
      <w:r w:rsidR="009B3228" w:rsidRPr="000260D4">
        <w:rPr>
          <w:rFonts w:ascii="Times New Roman" w:hAnsi="Times New Roman" w:cs="Times New Roman"/>
          <w:color w:val="000000"/>
          <w:kern w:val="0"/>
          <w:highlight w:val="yellow"/>
          <w14:ligatures w14:val="none"/>
        </w:rPr>
        <w:t xml:space="preserve">Planning grants </w:t>
      </w:r>
      <w:r w:rsidR="005F7564" w:rsidRPr="000260D4">
        <w:rPr>
          <w:rFonts w:ascii="Times New Roman" w:hAnsi="Times New Roman" w:cs="Times New Roman"/>
          <w:color w:val="000000"/>
          <w:kern w:val="0"/>
          <w:highlight w:val="yellow"/>
          <w14:ligatures w14:val="none"/>
        </w:rPr>
        <w:t>sho</w:t>
      </w:r>
      <w:r w:rsidR="009B3228" w:rsidRPr="000260D4">
        <w:rPr>
          <w:rFonts w:ascii="Times New Roman" w:hAnsi="Times New Roman" w:cs="Times New Roman"/>
          <w:color w:val="000000"/>
          <w:kern w:val="0"/>
          <w:highlight w:val="yellow"/>
          <w14:ligatures w14:val="none"/>
        </w:rPr>
        <w:t>uld p</w:t>
      </w:r>
      <w:r w:rsidR="00BC0313" w:rsidRPr="000260D4">
        <w:rPr>
          <w:rFonts w:ascii="Times New Roman" w:hAnsi="Times New Roman" w:cs="Times New Roman"/>
          <w:color w:val="000000"/>
          <w:kern w:val="0"/>
          <w:highlight w:val="yellow"/>
          <w14:ligatures w14:val="none"/>
        </w:rPr>
        <w:t xml:space="preserve">rovide funding to support </w:t>
      </w:r>
      <w:r w:rsidR="00062566" w:rsidRPr="000260D4">
        <w:rPr>
          <w:rFonts w:ascii="Times New Roman" w:hAnsi="Times New Roman" w:cs="Times New Roman"/>
          <w:color w:val="000000"/>
          <w:kern w:val="0"/>
          <w:highlight w:val="yellow"/>
          <w14:ligatures w14:val="none"/>
        </w:rPr>
        <w:t xml:space="preserve">universities </w:t>
      </w:r>
      <w:r w:rsidR="00BC0313" w:rsidRPr="000260D4">
        <w:rPr>
          <w:rFonts w:ascii="Times New Roman" w:hAnsi="Times New Roman" w:cs="Times New Roman"/>
          <w:color w:val="000000"/>
          <w:kern w:val="0"/>
          <w:highlight w:val="yellow"/>
          <w14:ligatures w14:val="none"/>
        </w:rPr>
        <w:t xml:space="preserve">in determining </w:t>
      </w:r>
      <w:r w:rsidR="00062566" w:rsidRPr="000260D4">
        <w:rPr>
          <w:rFonts w:ascii="Times New Roman" w:hAnsi="Times New Roman" w:cs="Times New Roman"/>
          <w:color w:val="000000"/>
          <w:kern w:val="0"/>
          <w:highlight w:val="yellow"/>
          <w14:ligatures w14:val="none"/>
        </w:rPr>
        <w:t xml:space="preserve">project scope, costs, and feasibility.  </w:t>
      </w:r>
      <w:r w:rsidR="004D01B3" w:rsidRPr="000260D4">
        <w:rPr>
          <w:rFonts w:ascii="Times New Roman" w:hAnsi="Times New Roman" w:cs="Times New Roman"/>
          <w:color w:val="000000"/>
          <w:kern w:val="0"/>
          <w:highlight w:val="yellow"/>
          <w14:ligatures w14:val="none"/>
        </w:rPr>
        <w:t xml:space="preserve">Planning </w:t>
      </w:r>
      <w:r w:rsidR="00E41A93" w:rsidRPr="000260D4">
        <w:rPr>
          <w:rFonts w:ascii="Times New Roman" w:hAnsi="Times New Roman" w:cs="Times New Roman"/>
          <w:color w:val="000000"/>
          <w:kern w:val="0"/>
          <w:highlight w:val="yellow"/>
          <w14:ligatures w14:val="none"/>
        </w:rPr>
        <w:t xml:space="preserve">grant </w:t>
      </w:r>
      <w:r w:rsidR="004D01B3" w:rsidRPr="000260D4">
        <w:rPr>
          <w:rFonts w:ascii="Times New Roman" w:hAnsi="Times New Roman" w:cs="Times New Roman"/>
          <w:color w:val="000000"/>
          <w:kern w:val="0"/>
          <w:highlight w:val="yellow"/>
          <w14:ligatures w14:val="none"/>
        </w:rPr>
        <w:t xml:space="preserve">awards will </w:t>
      </w:r>
      <w:r w:rsidR="00062566" w:rsidRPr="000260D4">
        <w:rPr>
          <w:rFonts w:ascii="Times New Roman" w:hAnsi="Times New Roman" w:cs="Times New Roman"/>
          <w:color w:val="000000"/>
          <w:kern w:val="0"/>
          <w:highlight w:val="yellow"/>
          <w14:ligatures w14:val="none"/>
        </w:rPr>
        <w:t xml:space="preserve">enable institutions to submit stronger, more competitive </w:t>
      </w:r>
      <w:r w:rsidR="00E41A93" w:rsidRPr="000260D4">
        <w:rPr>
          <w:rFonts w:ascii="Times New Roman" w:hAnsi="Times New Roman" w:cs="Times New Roman"/>
          <w:color w:val="000000"/>
          <w:kern w:val="0"/>
          <w:highlight w:val="yellow"/>
          <w14:ligatures w14:val="none"/>
        </w:rPr>
        <w:t xml:space="preserve">full </w:t>
      </w:r>
      <w:r w:rsidR="00062566" w:rsidRPr="000260D4">
        <w:rPr>
          <w:rFonts w:ascii="Times New Roman" w:hAnsi="Times New Roman" w:cs="Times New Roman"/>
          <w:color w:val="000000"/>
          <w:kern w:val="0"/>
          <w:highlight w:val="yellow"/>
          <w14:ligatures w14:val="none"/>
        </w:rPr>
        <w:t>proposals</w:t>
      </w:r>
      <w:r w:rsidR="00B41A3D" w:rsidRPr="000260D4">
        <w:rPr>
          <w:rFonts w:ascii="Times New Roman" w:hAnsi="Times New Roman" w:cs="Times New Roman"/>
          <w:color w:val="000000"/>
          <w:kern w:val="0"/>
          <w:highlight w:val="yellow"/>
          <w14:ligatures w14:val="none"/>
        </w:rPr>
        <w:t xml:space="preserve"> and will </w:t>
      </w:r>
      <w:r w:rsidR="00062566" w:rsidRPr="000260D4">
        <w:rPr>
          <w:rFonts w:ascii="Times New Roman" w:hAnsi="Times New Roman" w:cs="Times New Roman"/>
          <w:color w:val="000000"/>
          <w:kern w:val="0"/>
          <w:highlight w:val="yellow"/>
          <w14:ligatures w14:val="none"/>
        </w:rPr>
        <w:t>help institutions prepare for larger-scale investments while enabling early project successes.</w:t>
      </w:r>
      <w:r w:rsidR="00B41A3D">
        <w:rPr>
          <w:rFonts w:ascii="Times New Roman" w:hAnsi="Times New Roman" w:cs="Times New Roman"/>
          <w:color w:val="000000"/>
          <w:kern w:val="0"/>
          <w14:ligatures w14:val="none"/>
        </w:rPr>
        <w:t xml:space="preserve"> </w:t>
      </w:r>
    </w:p>
    <w:p w14:paraId="410A53E6" w14:textId="77777777" w:rsidR="00C9258E" w:rsidRDefault="00C9258E" w:rsidP="000728A5">
      <w:pPr>
        <w:spacing w:after="0" w:line="240" w:lineRule="auto"/>
        <w:divId w:val="1637029907"/>
        <w:rPr>
          <w:rFonts w:ascii="Times New Roman" w:hAnsi="Times New Roman" w:cs="Times New Roman"/>
          <w:b/>
          <w:bCs/>
          <w:color w:val="000000"/>
          <w:kern w:val="0"/>
          <w14:ligatures w14:val="none"/>
        </w:rPr>
      </w:pPr>
    </w:p>
    <w:p w14:paraId="4035CF02" w14:textId="40E3B019" w:rsidR="005A5DD3" w:rsidRPr="004D7CCB" w:rsidRDefault="005A5DD3" w:rsidP="005A5DD3">
      <w:pPr>
        <w:spacing w:after="0" w:line="240" w:lineRule="auto"/>
        <w:rPr>
          <w:rFonts w:ascii="Times New Roman" w:hAnsi="Times New Roman" w:cs="Times New Roman"/>
          <w:color w:val="000000"/>
          <w:kern w:val="0"/>
          <w14:ligatures w14:val="none"/>
        </w:rPr>
      </w:pPr>
      <w:r w:rsidRPr="004D7CCB">
        <w:rPr>
          <w:rFonts w:ascii="Times New Roman" w:hAnsi="Times New Roman" w:cs="Times New Roman"/>
          <w:color w:val="000000"/>
          <w:kern w:val="0"/>
          <w14:ligatures w14:val="none"/>
        </w:rPr>
        <w:t>Do not prioritize “shovel-ready” projects as a primary evaluation criterion unless the term is clearly and consistently defined. Definitions of “shovel-ready” vary widely across states and institutions due to differences in regulatory requirements, approval processes, and funding constraints. In some states, substantive planning cannot begin until funding is secured, while in others, “shovel-ready” may imply immediate construction readiness. Additionally, some institutions cannot separate planning and construction costs because both are embedded within a single project approval process.</w:t>
      </w:r>
      <w:r w:rsidR="004D7CCB">
        <w:rPr>
          <w:rFonts w:ascii="Times New Roman" w:hAnsi="Times New Roman" w:cs="Times New Roman"/>
          <w:color w:val="000000"/>
          <w:kern w:val="0"/>
          <w14:ligatures w14:val="none"/>
        </w:rPr>
        <w:t xml:space="preserve">  </w:t>
      </w:r>
      <w:r w:rsidRPr="004D7CCB">
        <w:rPr>
          <w:rFonts w:ascii="Times New Roman" w:hAnsi="Times New Roman" w:cs="Times New Roman"/>
          <w:color w:val="000000"/>
          <w:kern w:val="0"/>
          <w14:ligatures w14:val="none"/>
        </w:rPr>
        <w:t>Prioritizing “shovel-ready” projects without a clear and flexible definition risks disadvantaging smaller states and institutions that may not have a pipeline of immediately deployable projects. To ensure equitable participation, any consideration of “shovel-ready” status must include transparent criteria and sufficient flexibility to account for state- and institution-specific policies and constraints.</w:t>
      </w:r>
    </w:p>
    <w:p w14:paraId="42CBEA39" w14:textId="77777777" w:rsidR="0090253D" w:rsidRDefault="0090253D" w:rsidP="000728A5">
      <w:pPr>
        <w:spacing w:after="0" w:line="240" w:lineRule="auto"/>
        <w:rPr>
          <w:rFonts w:ascii="Times New Roman" w:hAnsi="Times New Roman" w:cs="Times New Roman"/>
          <w:color w:val="000000"/>
          <w:kern w:val="0"/>
          <w14:ligatures w14:val="none"/>
        </w:rPr>
      </w:pPr>
    </w:p>
    <w:p w14:paraId="691AF2F7" w14:textId="77777777" w:rsidR="00B76293" w:rsidRPr="00533DD5" w:rsidRDefault="00B76293" w:rsidP="000728A5">
      <w:pPr>
        <w:spacing w:after="0" w:line="240" w:lineRule="auto"/>
        <w:rPr>
          <w:rFonts w:ascii="Times New Roman" w:hAnsi="Times New Roman" w:cs="Times New Roman"/>
          <w:color w:val="000000"/>
          <w:kern w:val="0"/>
          <w14:ligatures w14:val="none"/>
        </w:rPr>
      </w:pPr>
      <w:r w:rsidRPr="00533DD5">
        <w:rPr>
          <w:rFonts w:ascii="Times New Roman" w:hAnsi="Times New Roman" w:cs="Times New Roman"/>
          <w:color w:val="000000"/>
          <w:kern w:val="0"/>
          <w14:ligatures w14:val="none"/>
        </w:rPr>
        <w:t>Do not exclude historic building renovations from eligibility; however, applicants should be required to provide a compelling justification for why RFA investment in a historic facility is warranted. A clear and transparent evaluation process should be established to ensure that historic renovation projects are assessed fairly and consistently relative to new construction and lower-cost (non-historic) renovation projects.</w:t>
      </w:r>
    </w:p>
    <w:p w14:paraId="15CC5A3A" w14:textId="77777777" w:rsidR="00F66E06" w:rsidRPr="00B207B7" w:rsidRDefault="00F66E06" w:rsidP="000728A5">
      <w:pPr>
        <w:spacing w:after="0" w:line="240" w:lineRule="auto"/>
        <w:divId w:val="1637029907"/>
        <w:rPr>
          <w:rFonts w:ascii="Times New Roman" w:hAnsi="Times New Roman" w:cs="Times New Roman"/>
          <w:b/>
          <w:bCs/>
          <w:color w:val="000000"/>
          <w:kern w:val="0"/>
          <w14:ligatures w14:val="none"/>
        </w:rPr>
      </w:pPr>
    </w:p>
    <w:p w14:paraId="57EF4007" w14:textId="7C4DA441" w:rsidR="00F41090" w:rsidRPr="007A1013" w:rsidRDefault="00F41090" w:rsidP="00F41090">
      <w:pPr>
        <w:spacing w:after="0" w:line="240" w:lineRule="auto"/>
        <w:divId w:val="1637029907"/>
        <w:rPr>
          <w:rFonts w:ascii="Times New Roman" w:hAnsi="Times New Roman" w:cs="Times New Roman"/>
          <w:color w:val="000000"/>
          <w:kern w:val="0"/>
          <w14:ligatures w14:val="none"/>
        </w:rPr>
      </w:pPr>
      <w:r w:rsidRPr="007A1013">
        <w:rPr>
          <w:rFonts w:ascii="Times New Roman" w:hAnsi="Times New Roman" w:cs="Times New Roman"/>
          <w:color w:val="000000"/>
          <w:kern w:val="0"/>
          <w14:ligatures w14:val="none"/>
        </w:rPr>
        <w:t xml:space="preserve">While maintaining a primary focus on research infrastructure, allow research-adjacent projects to be eligible when there is clear and compelling evidence that the investment will generate long-term agricultural research, education, and outreach benefits. Eligibility should consider the potential for broader institutional and </w:t>
      </w:r>
      <w:r w:rsidRPr="007A1013">
        <w:rPr>
          <w:rFonts w:ascii="Times New Roman" w:hAnsi="Times New Roman" w:cs="Times New Roman"/>
          <w:color w:val="000000"/>
          <w:kern w:val="0"/>
          <w14:ligatures w14:val="none"/>
        </w:rPr>
        <w:lastRenderedPageBreak/>
        <w:t>community impact.</w:t>
      </w:r>
      <w:r w:rsidR="007A1013">
        <w:rPr>
          <w:rFonts w:ascii="Times New Roman" w:hAnsi="Times New Roman" w:cs="Times New Roman"/>
          <w:color w:val="000000"/>
          <w:kern w:val="0"/>
          <w14:ligatures w14:val="none"/>
        </w:rPr>
        <w:t xml:space="preserve">  </w:t>
      </w:r>
      <w:r w:rsidRPr="007A1013">
        <w:rPr>
          <w:rFonts w:ascii="Times New Roman" w:hAnsi="Times New Roman" w:cs="Times New Roman"/>
          <w:color w:val="000000"/>
          <w:kern w:val="0"/>
          <w14:ligatures w14:val="none"/>
        </w:rPr>
        <w:t xml:space="preserve">Proposals should receive higher priority when research-focused infrastructure investments also deliver substantial benefits to other components of the university’s mission—particularly Extension and educational </w:t>
      </w:r>
      <w:proofErr w:type="gramStart"/>
      <w:r w:rsidRPr="007A1013">
        <w:rPr>
          <w:rFonts w:ascii="Times New Roman" w:hAnsi="Times New Roman" w:cs="Times New Roman"/>
          <w:color w:val="000000"/>
          <w:kern w:val="0"/>
          <w14:ligatures w14:val="none"/>
        </w:rPr>
        <w:t>programs—</w:t>
      </w:r>
      <w:proofErr w:type="gramEnd"/>
      <w:r w:rsidRPr="007A1013">
        <w:rPr>
          <w:rFonts w:ascii="Times New Roman" w:hAnsi="Times New Roman" w:cs="Times New Roman"/>
          <w:color w:val="000000"/>
          <w:kern w:val="0"/>
          <w14:ligatures w14:val="none"/>
        </w:rPr>
        <w:t>thereby amplifying institutional impact and community engagement.</w:t>
      </w:r>
    </w:p>
    <w:p w14:paraId="431F0DF3" w14:textId="77777777" w:rsidR="00F66E06" w:rsidRPr="00B207B7" w:rsidRDefault="00F66E06" w:rsidP="000728A5">
      <w:pPr>
        <w:spacing w:after="0" w:line="240" w:lineRule="auto"/>
        <w:divId w:val="192306481"/>
        <w:rPr>
          <w:rFonts w:ascii="Times New Roman" w:hAnsi="Times New Roman" w:cs="Times New Roman"/>
          <w:b/>
          <w:bCs/>
          <w:color w:val="000000"/>
          <w:kern w:val="0"/>
          <w14:ligatures w14:val="none"/>
        </w:rPr>
      </w:pPr>
    </w:p>
    <w:p w14:paraId="2E7EC91E" w14:textId="657DC4E0" w:rsidR="00610C87" w:rsidRPr="003A02E3" w:rsidRDefault="00610C87" w:rsidP="00610C87">
      <w:pPr>
        <w:spacing w:after="0" w:line="240" w:lineRule="auto"/>
        <w:divId w:val="192306481"/>
        <w:rPr>
          <w:rFonts w:ascii="Times New Roman" w:hAnsi="Times New Roman" w:cs="Times New Roman"/>
          <w:color w:val="000000"/>
          <w:kern w:val="0"/>
          <w14:ligatures w14:val="none"/>
        </w:rPr>
      </w:pPr>
      <w:r w:rsidRPr="003A02E3">
        <w:rPr>
          <w:rFonts w:ascii="Times New Roman" w:hAnsi="Times New Roman" w:cs="Times New Roman"/>
          <w:color w:val="000000"/>
          <w:kern w:val="0"/>
          <w14:ligatures w14:val="none"/>
        </w:rPr>
        <w:t>Define the RFP broadly to encompass a wide range of infrastructure needs related to agricultural, food, and ecological systems, while maintaining clear boundaries to avoid ambiguity or institutional drift. The evaluation process should prioritize proposals that demonstrate how the infrastructure investment addresses local and regional priorities while aligning with long-term institutional goals.</w:t>
      </w:r>
      <w:r w:rsidR="00A4267B" w:rsidRPr="003A02E3">
        <w:rPr>
          <w:rFonts w:ascii="Times New Roman" w:hAnsi="Times New Roman" w:cs="Times New Roman"/>
          <w:color w:val="000000"/>
          <w:kern w:val="0"/>
          <w14:ligatures w14:val="none"/>
        </w:rPr>
        <w:t xml:space="preserve">  </w:t>
      </w:r>
      <w:r w:rsidRPr="003A02E3">
        <w:rPr>
          <w:rFonts w:ascii="Times New Roman" w:hAnsi="Times New Roman" w:cs="Times New Roman"/>
          <w:color w:val="000000"/>
          <w:kern w:val="0"/>
          <w14:ligatures w14:val="none"/>
        </w:rPr>
        <w:t>RFP language should explicitly include off-campus Experiment Station and research facilities, not solely projects located on main campuses, to ensure equitable consideration of infrastructure essential to agricultural research across diverse settings.</w:t>
      </w:r>
    </w:p>
    <w:p w14:paraId="5FCA2A9F" w14:textId="77777777" w:rsidR="00A45084" w:rsidRPr="003A02E3" w:rsidRDefault="00A45084" w:rsidP="00610C87">
      <w:pPr>
        <w:spacing w:after="0" w:line="240" w:lineRule="auto"/>
        <w:divId w:val="192306481"/>
        <w:rPr>
          <w:rFonts w:ascii="Times New Roman" w:hAnsi="Times New Roman" w:cs="Times New Roman"/>
          <w:color w:val="000000"/>
          <w:kern w:val="0"/>
          <w14:ligatures w14:val="none"/>
        </w:rPr>
      </w:pPr>
    </w:p>
    <w:p w14:paraId="37F86090" w14:textId="1EEF696B" w:rsidR="00A45084" w:rsidRPr="005D7AF7" w:rsidRDefault="002D22B8" w:rsidP="00610C87">
      <w:pPr>
        <w:spacing w:after="0" w:line="240" w:lineRule="auto"/>
        <w:divId w:val="192306481"/>
        <w:rPr>
          <w:rFonts w:ascii="Times New Roman" w:hAnsi="Times New Roman" w:cs="Times New Roman"/>
          <w:color w:val="000000"/>
          <w:kern w:val="0"/>
          <w14:ligatures w14:val="none"/>
        </w:rPr>
      </w:pPr>
      <w:r w:rsidRPr="00F32DDA">
        <w:rPr>
          <w:rFonts w:ascii="Times New Roman" w:hAnsi="Times New Roman" w:cs="Times New Roman"/>
          <w:color w:val="000000"/>
          <w:kern w:val="0"/>
          <w:highlight w:val="yellow"/>
          <w14:ligatures w14:val="none"/>
        </w:rPr>
        <w:t>Recognizing that the statute caps funding per project at no more than 25 percent of the total funds available (e.g., $125 million in FY 2026), we recommend offering a range of award size categories, including a dedicated portion of funds for planning grants. Providing multiple award tiers would enable broader participation and allow USDA to invest strategically across a diverse set of eligible institutions and facility types.</w:t>
      </w:r>
    </w:p>
    <w:p w14:paraId="5AC2B553" w14:textId="77777777" w:rsidR="00610C87" w:rsidRDefault="00610C87" w:rsidP="000728A5">
      <w:pPr>
        <w:spacing w:after="0" w:line="240" w:lineRule="auto"/>
        <w:divId w:val="192306481"/>
        <w:rPr>
          <w:rFonts w:ascii="Times New Roman" w:hAnsi="Times New Roman" w:cs="Times New Roman"/>
          <w:b/>
          <w:bCs/>
          <w:color w:val="000000"/>
          <w:kern w:val="0"/>
          <w14:ligatures w14:val="none"/>
        </w:rPr>
      </w:pPr>
    </w:p>
    <w:p w14:paraId="3E522162" w14:textId="196706A3" w:rsidR="00980F92" w:rsidRPr="00B207B7" w:rsidRDefault="005407BC" w:rsidP="000728A5">
      <w:pPr>
        <w:spacing w:after="0" w:line="240" w:lineRule="auto"/>
        <w:rPr>
          <w:rFonts w:ascii="Times New Roman" w:hAnsi="Times New Roman" w:cs="Times New Roman"/>
          <w:b/>
          <w:bCs/>
          <w:color w:val="000000"/>
          <w:kern w:val="0"/>
          <w:u w:val="single"/>
          <w14:ligatures w14:val="none"/>
        </w:rPr>
      </w:pPr>
      <w:r w:rsidRPr="00B207B7">
        <w:rPr>
          <w:rFonts w:ascii="Times New Roman" w:hAnsi="Times New Roman" w:cs="Times New Roman"/>
          <w:b/>
          <w:bCs/>
          <w:color w:val="000000"/>
          <w:kern w:val="0"/>
          <w:u w:val="single"/>
          <w14:ligatures w14:val="none"/>
        </w:rPr>
        <w:t>Matching Requirements</w:t>
      </w:r>
    </w:p>
    <w:p w14:paraId="3A111170" w14:textId="77777777" w:rsidR="00980F92" w:rsidRPr="00B207B7" w:rsidRDefault="00980F92" w:rsidP="000728A5">
      <w:pPr>
        <w:spacing w:after="0" w:line="240" w:lineRule="auto"/>
        <w:rPr>
          <w:rFonts w:ascii="Times New Roman" w:hAnsi="Times New Roman" w:cs="Times New Roman"/>
          <w:b/>
          <w:bCs/>
          <w:color w:val="000000"/>
          <w:kern w:val="0"/>
          <w14:ligatures w14:val="none"/>
        </w:rPr>
      </w:pPr>
    </w:p>
    <w:p w14:paraId="6902E44F" w14:textId="77777777" w:rsidR="00FE0CD4" w:rsidRPr="00370208" w:rsidRDefault="00FE0CD4" w:rsidP="00734ACB">
      <w:pPr>
        <w:spacing w:after="0" w:line="240" w:lineRule="auto"/>
        <w:rPr>
          <w:rFonts w:ascii="Times New Roman" w:hAnsi="Times New Roman" w:cs="Times New Roman"/>
        </w:rPr>
      </w:pPr>
      <w:r w:rsidRPr="00272E21">
        <w:rPr>
          <w:rFonts w:ascii="Times New Roman" w:hAnsi="Times New Roman" w:cs="Times New Roman"/>
          <w:highlight w:val="yellow"/>
        </w:rPr>
        <w:t>agInnovation recognizes and appreciates the statutory 50 percent matching requirement and respectfully requests that USDA allow flexibility in both how the match is applied (including in-kind contributions and multiple match sources) and when the nonfederal match must be fulfilled, to ensure maximum participation by institutions of varying size, capacity, and geographic location. Specifically, institutions should be permitted to fulfill matching contribution requirements by the end of the grant period rather than being required to identify the full match at the time of award, and USDA should allow grantees to request the Secretary’s approval to extend the match payoff period beyond the award period when appropriate.</w:t>
      </w:r>
    </w:p>
    <w:p w14:paraId="53B1FBAD" w14:textId="77777777" w:rsidR="00FE0CD4" w:rsidRDefault="00FE0CD4" w:rsidP="00734ACB">
      <w:pPr>
        <w:spacing w:after="0" w:line="240" w:lineRule="auto"/>
        <w:rPr>
          <w:rFonts w:ascii="Times New Roman" w:hAnsi="Times New Roman" w:cs="Times New Roman"/>
          <w:highlight w:val="yellow"/>
        </w:rPr>
      </w:pPr>
    </w:p>
    <w:p w14:paraId="326B8D63" w14:textId="631BE701" w:rsidR="00D9329D" w:rsidRPr="00D9329D" w:rsidRDefault="00D9329D" w:rsidP="00734ACB">
      <w:pPr>
        <w:spacing w:after="0" w:line="240" w:lineRule="auto"/>
        <w:rPr>
          <w:rFonts w:ascii="Times New Roman" w:hAnsi="Times New Roman" w:cs="Times New Roman"/>
        </w:rPr>
      </w:pPr>
      <w:r w:rsidRPr="00D9329D">
        <w:rPr>
          <w:rFonts w:ascii="Times New Roman" w:hAnsi="Times New Roman" w:cs="Times New Roman"/>
          <w:color w:val="000000"/>
          <w:kern w:val="0"/>
          <w14:ligatures w14:val="none"/>
        </w:rPr>
        <w:t xml:space="preserve">Institutions matching more than the minimum match requirement should not receive preferential treatment over those that meet, but do not exceed, the required minimum.  </w:t>
      </w:r>
    </w:p>
    <w:p w14:paraId="780BD379" w14:textId="0FF4EC52" w:rsidR="00D6130A" w:rsidRPr="00157CE3" w:rsidRDefault="00D6130A" w:rsidP="000728A5">
      <w:pPr>
        <w:spacing w:after="0" w:line="240" w:lineRule="auto"/>
        <w:rPr>
          <w:rFonts w:ascii="Times New Roman" w:hAnsi="Times New Roman" w:cs="Times New Roman"/>
          <w:color w:val="000000"/>
          <w:kern w:val="0"/>
          <w14:ligatures w14:val="none"/>
        </w:rPr>
      </w:pPr>
    </w:p>
    <w:p w14:paraId="6B3281BD" w14:textId="67E16419" w:rsidR="000A6CF8" w:rsidRPr="00B207B7" w:rsidRDefault="00044520" w:rsidP="000728A5">
      <w:pPr>
        <w:spacing w:after="0" w:line="240" w:lineRule="auto"/>
        <w:rPr>
          <w:rFonts w:ascii="Times New Roman" w:hAnsi="Times New Roman" w:cs="Times New Roman"/>
          <w:b/>
          <w:bCs/>
          <w:color w:val="000000"/>
          <w:kern w:val="0"/>
          <w:u w:val="single"/>
          <w14:ligatures w14:val="none"/>
        </w:rPr>
      </w:pPr>
      <w:r>
        <w:rPr>
          <w:rFonts w:ascii="Times New Roman" w:hAnsi="Times New Roman" w:cs="Times New Roman"/>
          <w:b/>
          <w:bCs/>
          <w:color w:val="000000"/>
          <w:kern w:val="0"/>
          <w:u w:val="single"/>
          <w14:ligatures w14:val="none"/>
        </w:rPr>
        <w:t xml:space="preserve">Geographic and Institutional </w:t>
      </w:r>
      <w:r w:rsidRPr="00B207B7">
        <w:rPr>
          <w:rFonts w:ascii="Times New Roman" w:hAnsi="Times New Roman" w:cs="Times New Roman"/>
          <w:b/>
          <w:bCs/>
          <w:color w:val="000000"/>
          <w:kern w:val="0"/>
          <w:u w:val="single"/>
          <w14:ligatures w14:val="none"/>
        </w:rPr>
        <w:t>Parity</w:t>
      </w:r>
      <w:r w:rsidR="0050002B" w:rsidRPr="00B207B7">
        <w:rPr>
          <w:rFonts w:ascii="Times New Roman" w:hAnsi="Times New Roman" w:cs="Times New Roman"/>
          <w:b/>
          <w:bCs/>
          <w:color w:val="000000"/>
          <w:kern w:val="0"/>
          <w:u w:val="single"/>
          <w14:ligatures w14:val="none"/>
        </w:rPr>
        <w:t xml:space="preserve"> Considerations</w:t>
      </w:r>
    </w:p>
    <w:p w14:paraId="09A9DD0E" w14:textId="77777777" w:rsidR="005A7C2B" w:rsidRPr="00B207B7" w:rsidRDefault="005A7C2B" w:rsidP="000728A5">
      <w:pPr>
        <w:spacing w:after="0" w:line="240" w:lineRule="auto"/>
        <w:rPr>
          <w:rFonts w:ascii="Times New Roman" w:hAnsi="Times New Roman" w:cs="Times New Roman"/>
          <w:color w:val="000000"/>
          <w:kern w:val="0"/>
          <w14:ligatures w14:val="none"/>
        </w:rPr>
      </w:pPr>
    </w:p>
    <w:p w14:paraId="7193DD7C" w14:textId="35C7A9F1" w:rsidR="009115E5" w:rsidRPr="00446642" w:rsidRDefault="002C29B6" w:rsidP="009115E5">
      <w:pPr>
        <w:spacing w:after="0" w:line="240" w:lineRule="auto"/>
        <w:divId w:val="1486506024"/>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Parity</w:t>
      </w:r>
      <w:r w:rsidR="009115E5" w:rsidRPr="00446642">
        <w:rPr>
          <w:rFonts w:ascii="Times New Roman" w:hAnsi="Times New Roman" w:cs="Times New Roman"/>
          <w:color w:val="000000"/>
          <w:kern w:val="0"/>
          <w14:ligatures w14:val="none"/>
        </w:rPr>
        <w:t xml:space="preserve"> in funding distribution should be assessed at the institutional level within regions, rather than based solely on aggregate state-level awards. If a single institution within a state or region receives multiple large awards, other institutions in that same region should not be disadvantaged. However, when funding within a state or region has been distributed broadly across multiple institutions, priority should shift toward underfunded states or regions to promote a more balanced national allocation of resources.</w:t>
      </w:r>
      <w:r w:rsidR="00446642">
        <w:rPr>
          <w:rFonts w:ascii="Times New Roman" w:hAnsi="Times New Roman" w:cs="Times New Roman"/>
          <w:color w:val="000000"/>
          <w:kern w:val="0"/>
          <w14:ligatures w14:val="none"/>
        </w:rPr>
        <w:t xml:space="preserve"> </w:t>
      </w:r>
      <w:r w:rsidR="009115E5" w:rsidRPr="00446642">
        <w:rPr>
          <w:rFonts w:ascii="Times New Roman" w:hAnsi="Times New Roman" w:cs="Times New Roman"/>
          <w:color w:val="000000"/>
          <w:kern w:val="0"/>
          <w14:ligatures w14:val="none"/>
        </w:rPr>
        <w:t xml:space="preserve">To support this approach, regional infrastructure needs analyses—such as those provided in the </w:t>
      </w:r>
      <w:r w:rsidR="006920EA">
        <w:rPr>
          <w:rFonts w:ascii="Times New Roman" w:hAnsi="Times New Roman" w:cs="Times New Roman"/>
          <w:color w:val="000000"/>
          <w:kern w:val="0"/>
          <w14:ligatures w14:val="none"/>
        </w:rPr>
        <w:t xml:space="preserve">updated 2021 </w:t>
      </w:r>
      <w:r w:rsidR="009115E5" w:rsidRPr="00446642">
        <w:rPr>
          <w:rFonts w:ascii="Times New Roman" w:hAnsi="Times New Roman" w:cs="Times New Roman"/>
          <w:i/>
          <w:iCs/>
          <w:color w:val="000000"/>
          <w:kern w:val="0"/>
          <w14:ligatures w14:val="none"/>
        </w:rPr>
        <w:t>Gordian Report</w:t>
      </w:r>
      <w:r w:rsidR="009115E5" w:rsidRPr="00446642">
        <w:rPr>
          <w:rFonts w:ascii="Times New Roman" w:hAnsi="Times New Roman" w:cs="Times New Roman"/>
          <w:color w:val="000000"/>
          <w:kern w:val="0"/>
          <w14:ligatures w14:val="none"/>
        </w:rPr>
        <w:t>—should be used to inform funding decisions.</w:t>
      </w:r>
      <w:r w:rsidR="00446642">
        <w:rPr>
          <w:rFonts w:ascii="Times New Roman" w:hAnsi="Times New Roman" w:cs="Times New Roman"/>
          <w:color w:val="000000"/>
          <w:kern w:val="0"/>
          <w14:ligatures w14:val="none"/>
        </w:rPr>
        <w:t xml:space="preserve"> </w:t>
      </w:r>
      <w:r w:rsidR="009115E5" w:rsidRPr="00446642">
        <w:rPr>
          <w:rFonts w:ascii="Times New Roman" w:hAnsi="Times New Roman" w:cs="Times New Roman"/>
          <w:color w:val="000000"/>
          <w:kern w:val="0"/>
          <w14:ligatures w14:val="none"/>
        </w:rPr>
        <w:t xml:space="preserve">In addition, </w:t>
      </w:r>
      <w:proofErr w:type="spellStart"/>
      <w:r w:rsidR="009115E5" w:rsidRPr="00446642">
        <w:rPr>
          <w:rFonts w:ascii="Times New Roman" w:hAnsi="Times New Roman" w:cs="Times New Roman"/>
          <w:color w:val="000000"/>
          <w:kern w:val="0"/>
          <w14:ligatures w14:val="none"/>
        </w:rPr>
        <w:t>EPSCoR</w:t>
      </w:r>
      <w:proofErr w:type="spellEnd"/>
      <w:r w:rsidR="009115E5" w:rsidRPr="00446642">
        <w:rPr>
          <w:rFonts w:ascii="Times New Roman" w:hAnsi="Times New Roman" w:cs="Times New Roman"/>
          <w:color w:val="000000"/>
          <w:kern w:val="0"/>
          <w14:ligatures w14:val="none"/>
        </w:rPr>
        <w:t xml:space="preserve"> classifications may serve as a useful tool for prioritizing regions and institutions that have historically received fewer federal research investments.</w:t>
      </w:r>
    </w:p>
    <w:p w14:paraId="04BE453D" w14:textId="77777777" w:rsidR="009115E5" w:rsidRDefault="009115E5" w:rsidP="000728A5">
      <w:pPr>
        <w:spacing w:after="0" w:line="240" w:lineRule="auto"/>
        <w:divId w:val="1486506024"/>
        <w:rPr>
          <w:rFonts w:ascii="Times New Roman" w:hAnsi="Times New Roman" w:cs="Times New Roman"/>
          <w:b/>
          <w:bCs/>
          <w:color w:val="000000"/>
          <w:kern w:val="0"/>
          <w14:ligatures w14:val="none"/>
        </w:rPr>
      </w:pPr>
    </w:p>
    <w:p w14:paraId="06FEBE74" w14:textId="764BDC09" w:rsidR="00367B41" w:rsidRPr="00656B07" w:rsidRDefault="00367B41" w:rsidP="000728A5">
      <w:pPr>
        <w:spacing w:after="0" w:line="240" w:lineRule="auto"/>
        <w:divId w:val="1486506024"/>
        <w:rPr>
          <w:rFonts w:ascii="Times New Roman" w:hAnsi="Times New Roman" w:cs="Times New Roman"/>
          <w:color w:val="000000"/>
          <w:kern w:val="0"/>
          <w14:ligatures w14:val="none"/>
        </w:rPr>
      </w:pPr>
      <w:r w:rsidRPr="00656B07">
        <w:rPr>
          <w:rFonts w:ascii="Times New Roman" w:hAnsi="Times New Roman" w:cs="Times New Roman"/>
          <w:color w:val="000000"/>
          <w:kern w:val="0"/>
          <w14:ligatures w14:val="none"/>
        </w:rPr>
        <w:t xml:space="preserve">Funding decisions should </w:t>
      </w:r>
      <w:r w:rsidRPr="006968FB">
        <w:rPr>
          <w:rFonts w:ascii="Times New Roman" w:hAnsi="Times New Roman" w:cs="Times New Roman"/>
          <w:color w:val="000000"/>
          <w:kern w:val="0"/>
          <w14:ligatures w14:val="none"/>
        </w:rPr>
        <w:t>consider the potential to support</w:t>
      </w:r>
      <w:r w:rsidRPr="00656B07">
        <w:rPr>
          <w:rFonts w:ascii="Times New Roman" w:hAnsi="Times New Roman" w:cs="Times New Roman"/>
          <w:color w:val="000000"/>
          <w:kern w:val="0"/>
          <w14:ligatures w14:val="none"/>
        </w:rPr>
        <w:t xml:space="preserve"> regional infrastructure projects that benefit multiple institutions within a defined geographic area by addressing shared needs and promoting collaboration and resource sharing across institutions and disciplines. At the same time, the evaluation process should recognize that regional infrastructure models may not be feasible for all institutions, and proposals should not be disadvantaged solely because such shared approaches are impractical in certain locations.</w:t>
      </w:r>
    </w:p>
    <w:p w14:paraId="654AA84E" w14:textId="77777777" w:rsidR="005D34B3" w:rsidRPr="00B207B7" w:rsidRDefault="005D34B3" w:rsidP="005D34B3">
      <w:pPr>
        <w:spacing w:after="0" w:line="240" w:lineRule="auto"/>
        <w:ind w:left="360"/>
        <w:divId w:val="1486506024"/>
        <w:rPr>
          <w:rFonts w:ascii="Times New Roman" w:hAnsi="Times New Roman" w:cs="Times New Roman"/>
          <w:color w:val="FF0000"/>
          <w:kern w:val="0"/>
          <w14:ligatures w14:val="none"/>
        </w:rPr>
      </w:pPr>
    </w:p>
    <w:p w14:paraId="42D8B632" w14:textId="77777777" w:rsidR="00F66E06" w:rsidRPr="00B207B7" w:rsidRDefault="00F66E06" w:rsidP="000728A5">
      <w:pPr>
        <w:spacing w:after="0" w:line="240" w:lineRule="auto"/>
        <w:divId w:val="633751893"/>
        <w:rPr>
          <w:rFonts w:ascii="Times New Roman" w:hAnsi="Times New Roman" w:cs="Times New Roman"/>
          <w:b/>
          <w:bCs/>
          <w:color w:val="000000"/>
          <w:kern w:val="0"/>
          <w:u w:val="single"/>
          <w14:ligatures w14:val="none"/>
        </w:rPr>
      </w:pPr>
    </w:p>
    <w:p w14:paraId="33A85A0E" w14:textId="3AB4BD8E" w:rsidR="00CD111E" w:rsidRPr="00B207B7" w:rsidRDefault="005A3C18" w:rsidP="000728A5">
      <w:pPr>
        <w:spacing w:after="0" w:line="240" w:lineRule="auto"/>
        <w:divId w:val="633751893"/>
        <w:rPr>
          <w:rFonts w:ascii="Times New Roman" w:hAnsi="Times New Roman" w:cs="Times New Roman"/>
          <w:b/>
          <w:bCs/>
          <w:color w:val="000000"/>
          <w:kern w:val="0"/>
          <w:u w:val="single"/>
          <w14:ligatures w14:val="none"/>
        </w:rPr>
      </w:pPr>
      <w:r w:rsidRPr="00B207B7">
        <w:rPr>
          <w:rFonts w:ascii="Times New Roman" w:hAnsi="Times New Roman" w:cs="Times New Roman"/>
          <w:b/>
          <w:bCs/>
          <w:color w:val="000000"/>
          <w:kern w:val="0"/>
          <w:u w:val="single"/>
          <w14:ligatures w14:val="none"/>
        </w:rPr>
        <w:t>Data Tracking and Management</w:t>
      </w:r>
    </w:p>
    <w:p w14:paraId="233CD709" w14:textId="77777777" w:rsidR="00CD111E" w:rsidRPr="005E4FC5" w:rsidRDefault="00CD111E" w:rsidP="000728A5">
      <w:pPr>
        <w:spacing w:after="0" w:line="240" w:lineRule="auto"/>
        <w:divId w:val="633751893"/>
        <w:rPr>
          <w:rFonts w:ascii="Times New Roman" w:hAnsi="Times New Roman" w:cs="Times New Roman"/>
          <w:color w:val="000000"/>
          <w:kern w:val="0"/>
          <w14:ligatures w14:val="none"/>
        </w:rPr>
      </w:pPr>
    </w:p>
    <w:p w14:paraId="4C28E099" w14:textId="77777777" w:rsidR="00A42FC5" w:rsidRPr="005E4FC5" w:rsidRDefault="00A42FC5" w:rsidP="000728A5">
      <w:pPr>
        <w:spacing w:after="0" w:line="240" w:lineRule="auto"/>
        <w:divId w:val="633751893"/>
        <w:rPr>
          <w:rFonts w:ascii="Times New Roman" w:hAnsi="Times New Roman" w:cs="Times New Roman"/>
          <w:color w:val="000000"/>
          <w:kern w:val="0"/>
          <w14:ligatures w14:val="none"/>
        </w:rPr>
      </w:pPr>
      <w:r w:rsidRPr="005E4FC5">
        <w:rPr>
          <w:rFonts w:ascii="Times New Roman" w:hAnsi="Times New Roman" w:cs="Times New Roman"/>
          <w:color w:val="000000"/>
          <w:kern w:val="0"/>
          <w14:ligatures w14:val="none"/>
        </w:rPr>
        <w:t xml:space="preserve">Establish a strategic, well-defined data collection and analysis framework to track which institutions and states apply for funding, their success rates, and the types of projects awarded. </w:t>
      </w:r>
      <w:proofErr w:type="gramStart"/>
      <w:r w:rsidRPr="005E4FC5">
        <w:rPr>
          <w:rFonts w:ascii="Times New Roman" w:hAnsi="Times New Roman" w:cs="Times New Roman"/>
          <w:color w:val="000000"/>
          <w:kern w:val="0"/>
          <w14:ligatures w14:val="none"/>
        </w:rPr>
        <w:t>These</w:t>
      </w:r>
      <w:proofErr w:type="gramEnd"/>
      <w:r w:rsidRPr="005E4FC5">
        <w:rPr>
          <w:rFonts w:ascii="Times New Roman" w:hAnsi="Times New Roman" w:cs="Times New Roman"/>
          <w:color w:val="000000"/>
          <w:kern w:val="0"/>
          <w14:ligatures w14:val="none"/>
        </w:rPr>
        <w:t xml:space="preserve"> data are essential for assessing </w:t>
      </w:r>
      <w:r w:rsidRPr="005E4FC5">
        <w:rPr>
          <w:rFonts w:ascii="Times New Roman" w:hAnsi="Times New Roman" w:cs="Times New Roman"/>
          <w:color w:val="000000"/>
          <w:kern w:val="0"/>
          <w14:ligatures w14:val="none"/>
        </w:rPr>
        <w:lastRenderedPageBreak/>
        <w:t>program effectiveness and informing future funding and resource-allocation decisions</w:t>
      </w:r>
      <w:proofErr w:type="gramStart"/>
      <w:r w:rsidRPr="005E4FC5">
        <w:rPr>
          <w:rFonts w:ascii="Times New Roman" w:hAnsi="Times New Roman" w:cs="Times New Roman"/>
          <w:color w:val="000000"/>
          <w:kern w:val="0"/>
          <w14:ligatures w14:val="none"/>
        </w:rPr>
        <w:t xml:space="preserve">. </w:t>
      </w:r>
      <w:proofErr w:type="gramEnd"/>
      <w:r w:rsidRPr="005E4FC5">
        <w:rPr>
          <w:rFonts w:ascii="Times New Roman" w:hAnsi="Times New Roman" w:cs="Times New Roman"/>
          <w:color w:val="000000"/>
          <w:kern w:val="0"/>
          <w14:ligatures w14:val="none"/>
        </w:rPr>
        <w:t>The data management plan should be applied retroactively to FY 2023 and FY 2024 applications and awards to ensure a complete and consistent program evaluation baseline.</w:t>
      </w:r>
    </w:p>
    <w:p w14:paraId="5ED67AA6" w14:textId="77777777" w:rsidR="00A42FC5" w:rsidRDefault="00A42FC5" w:rsidP="000728A5">
      <w:pPr>
        <w:spacing w:after="0" w:line="240" w:lineRule="auto"/>
        <w:divId w:val="633751893"/>
        <w:rPr>
          <w:rFonts w:ascii="Times New Roman" w:hAnsi="Times New Roman" w:cs="Times New Roman"/>
          <w:b/>
          <w:bCs/>
          <w:color w:val="000000"/>
          <w:kern w:val="0"/>
          <w14:ligatures w14:val="none"/>
        </w:rPr>
      </w:pPr>
    </w:p>
    <w:p w14:paraId="09C48E19" w14:textId="275E3B9E" w:rsidR="009F061F" w:rsidRPr="002423D6" w:rsidRDefault="009F061F" w:rsidP="009F061F">
      <w:pPr>
        <w:spacing w:after="0" w:line="240" w:lineRule="auto"/>
        <w:divId w:val="633751893"/>
        <w:rPr>
          <w:rFonts w:ascii="Times New Roman" w:hAnsi="Times New Roman" w:cs="Times New Roman"/>
          <w:color w:val="000000"/>
          <w:kern w:val="0"/>
          <w14:ligatures w14:val="none"/>
        </w:rPr>
      </w:pPr>
      <w:r w:rsidRPr="002423D6">
        <w:rPr>
          <w:rFonts w:ascii="Times New Roman" w:hAnsi="Times New Roman" w:cs="Times New Roman"/>
          <w:color w:val="000000"/>
          <w:kern w:val="0"/>
          <w14:ligatures w14:val="none"/>
        </w:rPr>
        <w:t>In addition to tracking applications</w:t>
      </w:r>
      <w:r w:rsidR="00D362E7" w:rsidRPr="002423D6">
        <w:rPr>
          <w:rFonts w:ascii="Times New Roman" w:hAnsi="Times New Roman" w:cs="Times New Roman"/>
          <w:color w:val="000000"/>
          <w:kern w:val="0"/>
          <w14:ligatures w14:val="none"/>
        </w:rPr>
        <w:t>,</w:t>
      </w:r>
      <w:r w:rsidRPr="002423D6">
        <w:rPr>
          <w:rFonts w:ascii="Times New Roman" w:hAnsi="Times New Roman" w:cs="Times New Roman"/>
          <w:color w:val="000000"/>
          <w:kern w:val="0"/>
          <w14:ligatures w14:val="none"/>
        </w:rPr>
        <w:t xml:space="preserve"> systematically collect data on institutions that choose not to apply and the reasons for non-participation. Understanding barriers </w:t>
      </w:r>
      <w:r w:rsidR="000640A3" w:rsidRPr="002423D6">
        <w:rPr>
          <w:rFonts w:ascii="Times New Roman" w:hAnsi="Times New Roman" w:cs="Times New Roman"/>
          <w:color w:val="000000"/>
          <w:kern w:val="0"/>
          <w14:ligatures w14:val="none"/>
        </w:rPr>
        <w:t xml:space="preserve">to submission </w:t>
      </w:r>
      <w:r w:rsidRPr="002423D6">
        <w:rPr>
          <w:rFonts w:ascii="Times New Roman" w:hAnsi="Times New Roman" w:cs="Times New Roman"/>
          <w:color w:val="000000"/>
          <w:kern w:val="0"/>
          <w14:ligatures w14:val="none"/>
        </w:rPr>
        <w:t>will help identify whether program design is unintentionally excluding institutions and inform adjustments to promote broader and geographically diverse participation.</w:t>
      </w:r>
      <w:r w:rsidR="000640A3" w:rsidRPr="002423D6">
        <w:rPr>
          <w:rFonts w:ascii="Times New Roman" w:hAnsi="Times New Roman" w:cs="Times New Roman"/>
          <w:color w:val="000000"/>
          <w:kern w:val="0"/>
          <w14:ligatures w14:val="none"/>
        </w:rPr>
        <w:t xml:space="preserve">  </w:t>
      </w:r>
      <w:r w:rsidRPr="002423D6">
        <w:rPr>
          <w:rFonts w:ascii="Times New Roman" w:hAnsi="Times New Roman" w:cs="Times New Roman"/>
          <w:color w:val="000000"/>
          <w:kern w:val="0"/>
          <w14:ligatures w14:val="none"/>
        </w:rPr>
        <w:t xml:space="preserve">NIFA should also establish regular, structured opportunities—such as annual feedback mechanisms—for stakeholder input, particularly from </w:t>
      </w:r>
      <w:r w:rsidR="002423D6">
        <w:rPr>
          <w:rFonts w:ascii="Times New Roman" w:hAnsi="Times New Roman" w:cs="Times New Roman"/>
          <w:color w:val="000000"/>
          <w:kern w:val="0"/>
          <w14:ligatures w14:val="none"/>
        </w:rPr>
        <w:t>l</w:t>
      </w:r>
      <w:r w:rsidRPr="002423D6">
        <w:rPr>
          <w:rFonts w:ascii="Times New Roman" w:hAnsi="Times New Roman" w:cs="Times New Roman"/>
          <w:color w:val="000000"/>
          <w:kern w:val="0"/>
          <w14:ligatures w14:val="none"/>
        </w:rPr>
        <w:t>and-grant universities. This feedback should be used to refine program rules and requirements, especially during the early years of implementation, to ensure the program evolves responsively and inclusively.</w:t>
      </w:r>
    </w:p>
    <w:p w14:paraId="2536AEFC" w14:textId="77777777" w:rsidR="009F061F" w:rsidRDefault="009F061F" w:rsidP="000728A5">
      <w:pPr>
        <w:spacing w:after="0" w:line="240" w:lineRule="auto"/>
        <w:divId w:val="633751893"/>
        <w:rPr>
          <w:rFonts w:ascii="Times New Roman" w:hAnsi="Times New Roman" w:cs="Times New Roman"/>
          <w:b/>
          <w:bCs/>
          <w:color w:val="000000"/>
          <w:kern w:val="0"/>
          <w14:ligatures w14:val="none"/>
        </w:rPr>
      </w:pPr>
    </w:p>
    <w:p w14:paraId="5F3A9CC0" w14:textId="0271AFDF" w:rsidR="004D769A" w:rsidRPr="00B207B7" w:rsidRDefault="00A76738" w:rsidP="000728A5">
      <w:pPr>
        <w:spacing w:after="0" w:line="240" w:lineRule="auto"/>
        <w:rPr>
          <w:rFonts w:ascii="Times New Roman" w:hAnsi="Times New Roman" w:cs="Times New Roman"/>
          <w:color w:val="000000"/>
          <w:kern w:val="0"/>
          <w14:ligatures w14:val="none"/>
        </w:rPr>
      </w:pPr>
      <w:r>
        <w:rPr>
          <w:rFonts w:ascii="Times New Roman" w:hAnsi="Times New Roman" w:cs="Times New Roman"/>
          <w:b/>
          <w:bCs/>
          <w:color w:val="000000"/>
          <w:kern w:val="0"/>
          <w:u w:val="single"/>
          <w14:ligatures w14:val="none"/>
        </w:rPr>
        <w:t xml:space="preserve">NOFO </w:t>
      </w:r>
    </w:p>
    <w:p w14:paraId="3F9005A7" w14:textId="77777777" w:rsidR="00DE4EF1" w:rsidRDefault="00DE4EF1" w:rsidP="000728A5">
      <w:pPr>
        <w:spacing w:after="0" w:line="240" w:lineRule="auto"/>
        <w:rPr>
          <w:rFonts w:ascii="Times New Roman" w:hAnsi="Times New Roman" w:cs="Times New Roman"/>
          <w:color w:val="000000"/>
          <w:kern w:val="0"/>
          <w14:ligatures w14:val="none"/>
        </w:rPr>
      </w:pPr>
    </w:p>
    <w:p w14:paraId="47D2574F" w14:textId="618409D9" w:rsidR="00575738" w:rsidRDefault="006637E5" w:rsidP="000728A5">
      <w:pPr>
        <w:spacing w:after="0"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Application </w:t>
      </w:r>
      <w:r w:rsidR="006D4DDB">
        <w:rPr>
          <w:rFonts w:ascii="Times New Roman" w:hAnsi="Times New Roman" w:cs="Times New Roman"/>
          <w:color w:val="000000"/>
          <w:kern w:val="0"/>
          <w14:ligatures w14:val="none"/>
        </w:rPr>
        <w:t>deadline</w:t>
      </w:r>
      <w:r w:rsidR="00575738" w:rsidRPr="00E94089">
        <w:rPr>
          <w:rFonts w:ascii="Times New Roman" w:hAnsi="Times New Roman" w:cs="Times New Roman"/>
          <w:color w:val="000000"/>
          <w:kern w:val="0"/>
          <w14:ligatures w14:val="none"/>
        </w:rPr>
        <w:t xml:space="preserve">s </w:t>
      </w:r>
      <w:r w:rsidR="0093736F" w:rsidRPr="00E94089">
        <w:rPr>
          <w:rFonts w:ascii="Times New Roman" w:hAnsi="Times New Roman" w:cs="Times New Roman"/>
          <w:color w:val="000000"/>
          <w:kern w:val="0"/>
          <w14:ligatures w14:val="none"/>
        </w:rPr>
        <w:t>should</w:t>
      </w:r>
      <w:r w:rsidR="00575738" w:rsidRPr="00E94089">
        <w:rPr>
          <w:rFonts w:ascii="Times New Roman" w:hAnsi="Times New Roman" w:cs="Times New Roman"/>
          <w:color w:val="000000"/>
          <w:kern w:val="0"/>
          <w14:ligatures w14:val="none"/>
        </w:rPr>
        <w:t xml:space="preserve"> </w:t>
      </w:r>
      <w:r w:rsidR="006D4DDB">
        <w:rPr>
          <w:rFonts w:ascii="Times New Roman" w:hAnsi="Times New Roman" w:cs="Times New Roman"/>
          <w:color w:val="000000"/>
          <w:kern w:val="0"/>
          <w14:ligatures w14:val="none"/>
        </w:rPr>
        <w:t>be carefully c</w:t>
      </w:r>
      <w:r w:rsidR="00275FFC">
        <w:rPr>
          <w:rFonts w:ascii="Times New Roman" w:hAnsi="Times New Roman" w:cs="Times New Roman"/>
          <w:color w:val="000000"/>
          <w:kern w:val="0"/>
          <w14:ligatures w14:val="none"/>
        </w:rPr>
        <w:t xml:space="preserve">hosen </w:t>
      </w:r>
      <w:r w:rsidR="006D4DDB">
        <w:rPr>
          <w:rFonts w:ascii="Times New Roman" w:hAnsi="Times New Roman" w:cs="Times New Roman"/>
          <w:color w:val="000000"/>
          <w:kern w:val="0"/>
          <w14:ligatures w14:val="none"/>
        </w:rPr>
        <w:t xml:space="preserve">to </w:t>
      </w:r>
      <w:r w:rsidR="00575738" w:rsidRPr="00E94089">
        <w:rPr>
          <w:rFonts w:ascii="Times New Roman" w:hAnsi="Times New Roman" w:cs="Times New Roman"/>
          <w:color w:val="000000"/>
          <w:kern w:val="0"/>
          <w14:ligatures w14:val="none"/>
        </w:rPr>
        <w:t xml:space="preserve">allow institutions adequate time and resources to prepare competitive applications without </w:t>
      </w:r>
      <w:proofErr w:type="gramStart"/>
      <w:r w:rsidR="00575738" w:rsidRPr="00E94089">
        <w:rPr>
          <w:rFonts w:ascii="Times New Roman" w:hAnsi="Times New Roman" w:cs="Times New Roman"/>
          <w:color w:val="000000"/>
          <w:kern w:val="0"/>
          <w14:ligatures w14:val="none"/>
        </w:rPr>
        <w:t>overlap</w:t>
      </w:r>
      <w:proofErr w:type="gramEnd"/>
      <w:r w:rsidR="00575738" w:rsidRPr="00E94089">
        <w:rPr>
          <w:rFonts w:ascii="Times New Roman" w:hAnsi="Times New Roman" w:cs="Times New Roman"/>
          <w:color w:val="000000"/>
          <w:kern w:val="0"/>
          <w14:ligatures w14:val="none"/>
        </w:rPr>
        <w:t xml:space="preserve"> or conflict</w:t>
      </w:r>
      <w:proofErr w:type="gramStart"/>
      <w:r w:rsidR="00575738" w:rsidRPr="00E94089">
        <w:rPr>
          <w:rFonts w:ascii="Times New Roman" w:hAnsi="Times New Roman" w:cs="Times New Roman"/>
          <w:color w:val="000000"/>
          <w:kern w:val="0"/>
          <w14:ligatures w14:val="none"/>
        </w:rPr>
        <w:t xml:space="preserve">. </w:t>
      </w:r>
      <w:proofErr w:type="gramEnd"/>
      <w:r w:rsidR="00575738" w:rsidRPr="00E94089">
        <w:rPr>
          <w:rFonts w:ascii="Times New Roman" w:hAnsi="Times New Roman" w:cs="Times New Roman"/>
          <w:color w:val="000000"/>
          <w:kern w:val="0"/>
          <w14:ligatures w14:val="none"/>
        </w:rPr>
        <w:t>Application deadlines should avoid the summer months, when staffing and institutional capacity are often limited, to ensure institutions can fully leverage available expertise and submit high-quality proposals.</w:t>
      </w:r>
    </w:p>
    <w:p w14:paraId="4C114FD6" w14:textId="77777777" w:rsidR="00E9328A" w:rsidRPr="00E94089" w:rsidRDefault="00E9328A" w:rsidP="000728A5">
      <w:pPr>
        <w:spacing w:after="0" w:line="240" w:lineRule="auto"/>
        <w:rPr>
          <w:rFonts w:ascii="Times New Roman" w:hAnsi="Times New Roman" w:cs="Times New Roman"/>
          <w:color w:val="000000"/>
          <w:kern w:val="0"/>
          <w14:ligatures w14:val="none"/>
        </w:rPr>
      </w:pPr>
    </w:p>
    <w:p w14:paraId="6010A5E6" w14:textId="17D5EE9A" w:rsidR="0040411C" w:rsidRDefault="0040411C" w:rsidP="000728A5">
      <w:pPr>
        <w:pStyle w:val="NormalWeb"/>
        <w:spacing w:before="0" w:beforeAutospacing="0" w:after="0" w:afterAutospacing="0"/>
        <w:divId w:val="855340603"/>
        <w:rPr>
          <w:color w:val="000000" w:themeColor="text1"/>
        </w:rPr>
      </w:pPr>
      <w:r w:rsidRPr="00B207B7">
        <w:rPr>
          <w:color w:val="000000" w:themeColor="text1"/>
        </w:rPr>
        <w:t xml:space="preserve">Project evaluation criteria should be </w:t>
      </w:r>
      <w:r w:rsidR="00DB7AF4">
        <w:rPr>
          <w:color w:val="000000" w:themeColor="text1"/>
        </w:rPr>
        <w:t>detailed and clear</w:t>
      </w:r>
      <w:r w:rsidRPr="00B207B7">
        <w:rPr>
          <w:color w:val="000000" w:themeColor="text1"/>
        </w:rPr>
        <w:t>.</w:t>
      </w:r>
    </w:p>
    <w:p w14:paraId="254AD84D" w14:textId="77777777" w:rsidR="0031262E" w:rsidRDefault="0031262E" w:rsidP="000728A5">
      <w:pPr>
        <w:pStyle w:val="NormalWeb"/>
        <w:spacing w:before="0" w:beforeAutospacing="0" w:after="0" w:afterAutospacing="0"/>
        <w:divId w:val="855340603"/>
        <w:rPr>
          <w:color w:val="000000" w:themeColor="text1"/>
        </w:rPr>
      </w:pPr>
    </w:p>
    <w:p w14:paraId="0A2B3B75" w14:textId="305CBA87" w:rsidR="00E4111B" w:rsidRPr="00272E21" w:rsidRDefault="0031262E" w:rsidP="000728A5">
      <w:pPr>
        <w:pStyle w:val="NormalWeb"/>
        <w:spacing w:before="0" w:beforeAutospacing="0" w:after="0" w:afterAutospacing="0"/>
        <w:divId w:val="855340603"/>
        <w:rPr>
          <w:color w:val="000000" w:themeColor="text1"/>
          <w:highlight w:val="yellow"/>
        </w:rPr>
      </w:pPr>
      <w:r w:rsidRPr="00272E21">
        <w:rPr>
          <w:color w:val="000000" w:themeColor="text1"/>
          <w:highlight w:val="yellow"/>
        </w:rPr>
        <w:t xml:space="preserve">Clearly specify whether letters of support will be permitted or </w:t>
      </w:r>
      <w:r w:rsidR="00603B0F" w:rsidRPr="00272E21">
        <w:rPr>
          <w:color w:val="000000" w:themeColor="text1"/>
          <w:highlight w:val="yellow"/>
        </w:rPr>
        <w:t>required and</w:t>
      </w:r>
      <w:r w:rsidRPr="00272E21">
        <w:rPr>
          <w:color w:val="000000" w:themeColor="text1"/>
          <w:highlight w:val="yellow"/>
        </w:rPr>
        <w:t xml:space="preserve"> identify any expectations regarding letters from specific entities or stakeholders.</w:t>
      </w:r>
    </w:p>
    <w:p w14:paraId="15AF8C0A" w14:textId="77777777" w:rsidR="00C54D97" w:rsidRPr="00272E21" w:rsidRDefault="00C54D97" w:rsidP="000728A5">
      <w:pPr>
        <w:pStyle w:val="NormalWeb"/>
        <w:spacing w:before="0" w:beforeAutospacing="0" w:after="0" w:afterAutospacing="0"/>
        <w:divId w:val="855340603"/>
        <w:rPr>
          <w:color w:val="000000" w:themeColor="text1"/>
          <w:highlight w:val="yellow"/>
        </w:rPr>
      </w:pPr>
    </w:p>
    <w:p w14:paraId="21ABA372" w14:textId="71E220C5" w:rsidR="00C54D97" w:rsidRDefault="00DB2040" w:rsidP="000728A5">
      <w:pPr>
        <w:pStyle w:val="NormalWeb"/>
        <w:spacing w:before="0" w:beforeAutospacing="0" w:after="0" w:afterAutospacing="0"/>
        <w:divId w:val="855340603"/>
        <w:rPr>
          <w:color w:val="000000" w:themeColor="text1"/>
        </w:rPr>
      </w:pPr>
      <w:r w:rsidRPr="00272E21">
        <w:rPr>
          <w:color w:val="000000" w:themeColor="text1"/>
          <w:highlight w:val="yellow"/>
        </w:rPr>
        <w:t xml:space="preserve">NIFA should develop additional resources, such as FAQs, hold webinars with Q&amp;A sessions, and other </w:t>
      </w:r>
      <w:r w:rsidR="00603B0F" w:rsidRPr="00272E21">
        <w:rPr>
          <w:color w:val="000000" w:themeColor="text1"/>
          <w:highlight w:val="yellow"/>
        </w:rPr>
        <w:t>helpful resources</w:t>
      </w:r>
      <w:r w:rsidRPr="00272E21">
        <w:rPr>
          <w:color w:val="000000" w:themeColor="text1"/>
          <w:highlight w:val="yellow"/>
        </w:rPr>
        <w:t xml:space="preserve"> </w:t>
      </w:r>
      <w:r w:rsidR="006336C0" w:rsidRPr="00272E21">
        <w:rPr>
          <w:color w:val="000000" w:themeColor="text1"/>
          <w:highlight w:val="yellow"/>
        </w:rPr>
        <w:t>for prospective applicants</w:t>
      </w:r>
      <w:r w:rsidR="003924B2" w:rsidRPr="00272E21">
        <w:rPr>
          <w:color w:val="000000" w:themeColor="text1"/>
          <w:highlight w:val="yellow"/>
        </w:rPr>
        <w:t>.</w:t>
      </w:r>
    </w:p>
    <w:p w14:paraId="5853B364" w14:textId="77777777" w:rsidR="0040411C" w:rsidRDefault="0040411C" w:rsidP="000728A5">
      <w:pPr>
        <w:pStyle w:val="NormalWeb"/>
        <w:spacing w:before="0" w:beforeAutospacing="0" w:after="0" w:afterAutospacing="0"/>
        <w:divId w:val="855340603"/>
        <w:rPr>
          <w:color w:val="000000" w:themeColor="text1"/>
        </w:rPr>
      </w:pPr>
    </w:p>
    <w:p w14:paraId="45DD1F96" w14:textId="1752C8B9" w:rsidR="00DE4EF1" w:rsidRPr="00DE4EF1" w:rsidRDefault="00DE4EF1" w:rsidP="000728A5">
      <w:pPr>
        <w:pStyle w:val="NormalWeb"/>
        <w:spacing w:before="0" w:beforeAutospacing="0" w:after="0" w:afterAutospacing="0"/>
        <w:divId w:val="855340603"/>
        <w:rPr>
          <w:b/>
          <w:bCs/>
          <w:color w:val="000000" w:themeColor="text1"/>
          <w:u w:val="single"/>
        </w:rPr>
      </w:pPr>
      <w:r w:rsidRPr="00DE4EF1">
        <w:rPr>
          <w:b/>
          <w:bCs/>
          <w:color w:val="000000" w:themeColor="text1"/>
          <w:u w:val="single"/>
        </w:rPr>
        <w:t>Interagency Coordination</w:t>
      </w:r>
    </w:p>
    <w:p w14:paraId="5B2CDF01" w14:textId="77777777" w:rsidR="00DE4EF1" w:rsidRDefault="00DE4EF1" w:rsidP="000728A5">
      <w:pPr>
        <w:pStyle w:val="NormalWeb"/>
        <w:spacing w:before="0" w:beforeAutospacing="0" w:after="0" w:afterAutospacing="0"/>
        <w:divId w:val="855340603"/>
        <w:rPr>
          <w:color w:val="000000" w:themeColor="text1"/>
        </w:rPr>
      </w:pPr>
    </w:p>
    <w:p w14:paraId="63342970" w14:textId="77777777" w:rsidR="00DE4EF1" w:rsidRPr="00207568" w:rsidRDefault="00DE4EF1" w:rsidP="00DE4EF1">
      <w:pPr>
        <w:pStyle w:val="NormalWeb"/>
        <w:spacing w:before="0" w:beforeAutospacing="0" w:after="0" w:afterAutospacing="0"/>
        <w:divId w:val="855340603"/>
        <w:rPr>
          <w:color w:val="000000"/>
        </w:rPr>
      </w:pPr>
      <w:r w:rsidRPr="00207568">
        <w:rPr>
          <w:color w:val="000000"/>
        </w:rPr>
        <w:t>NIFA should proactively lead interagency partnerships—particularly with federal agencies that administer infrastructure funding programs and have complementary missions—to expand the overall pool of resources available for infrastructure investments. Coordinated, cross-agency collaboration would increase funding leverage and broaden institutional access to critical infrastructure support.</w:t>
      </w:r>
    </w:p>
    <w:p w14:paraId="20F7F30E" w14:textId="77777777" w:rsidR="00DE4EF1" w:rsidRDefault="00DE4EF1" w:rsidP="000728A5">
      <w:pPr>
        <w:pStyle w:val="NormalWeb"/>
        <w:spacing w:before="0" w:beforeAutospacing="0" w:after="0" w:afterAutospacing="0"/>
        <w:divId w:val="855340603"/>
        <w:rPr>
          <w:color w:val="000000" w:themeColor="text1"/>
        </w:rPr>
      </w:pPr>
    </w:p>
    <w:sectPr w:rsidR="00DE4EF1" w:rsidSect="0084667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3A99" w14:textId="77777777" w:rsidR="00CE34E0" w:rsidRDefault="00CE34E0" w:rsidP="001A39EB">
      <w:pPr>
        <w:spacing w:after="0" w:line="240" w:lineRule="auto"/>
      </w:pPr>
      <w:r>
        <w:separator/>
      </w:r>
    </w:p>
  </w:endnote>
  <w:endnote w:type="continuationSeparator" w:id="0">
    <w:p w14:paraId="562CBEFA" w14:textId="77777777" w:rsidR="00CE34E0" w:rsidRDefault="00CE34E0" w:rsidP="001A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3030292"/>
      <w:docPartObj>
        <w:docPartGallery w:val="Page Numbers (Bottom of Page)"/>
        <w:docPartUnique/>
      </w:docPartObj>
    </w:sdtPr>
    <w:sdtContent>
      <w:p w14:paraId="63295632" w14:textId="016D8ACA" w:rsidR="001A39EB" w:rsidRDefault="001A39EB" w:rsidP="002341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5090F" w14:textId="77777777" w:rsidR="001A39EB" w:rsidRDefault="001A3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848464"/>
      <w:docPartObj>
        <w:docPartGallery w:val="Page Numbers (Bottom of Page)"/>
        <w:docPartUnique/>
      </w:docPartObj>
    </w:sdtPr>
    <w:sdtContent>
      <w:p w14:paraId="3EB2BE39" w14:textId="68869C7A" w:rsidR="001A39EB" w:rsidRDefault="001A39EB" w:rsidP="002341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AF934C" w14:textId="77777777" w:rsidR="001A39EB" w:rsidRDefault="001A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34FF" w14:textId="77777777" w:rsidR="00CE34E0" w:rsidRDefault="00CE34E0" w:rsidP="001A39EB">
      <w:pPr>
        <w:spacing w:after="0" w:line="240" w:lineRule="auto"/>
      </w:pPr>
      <w:r>
        <w:separator/>
      </w:r>
    </w:p>
  </w:footnote>
  <w:footnote w:type="continuationSeparator" w:id="0">
    <w:p w14:paraId="6E803735" w14:textId="77777777" w:rsidR="00CE34E0" w:rsidRDefault="00CE34E0" w:rsidP="001A3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F3BEA"/>
    <w:multiLevelType w:val="multilevel"/>
    <w:tmpl w:val="7C82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050059"/>
    <w:multiLevelType w:val="multilevel"/>
    <w:tmpl w:val="128C003A"/>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7BC32EB3"/>
    <w:multiLevelType w:val="multilevel"/>
    <w:tmpl w:val="A404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50927">
    <w:abstractNumId w:val="2"/>
  </w:num>
  <w:num w:numId="2" w16cid:durableId="927890533">
    <w:abstractNumId w:val="0"/>
  </w:num>
  <w:num w:numId="3" w16cid:durableId="207639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C7"/>
    <w:rsid w:val="00003652"/>
    <w:rsid w:val="00012761"/>
    <w:rsid w:val="00012A46"/>
    <w:rsid w:val="00015CED"/>
    <w:rsid w:val="000260D4"/>
    <w:rsid w:val="000266E6"/>
    <w:rsid w:val="00026AF8"/>
    <w:rsid w:val="000345E1"/>
    <w:rsid w:val="0003473C"/>
    <w:rsid w:val="000350C0"/>
    <w:rsid w:val="00044520"/>
    <w:rsid w:val="0005682E"/>
    <w:rsid w:val="00060233"/>
    <w:rsid w:val="00062566"/>
    <w:rsid w:val="00062C07"/>
    <w:rsid w:val="000640A3"/>
    <w:rsid w:val="000648CB"/>
    <w:rsid w:val="000728A5"/>
    <w:rsid w:val="00076BAA"/>
    <w:rsid w:val="00081D9B"/>
    <w:rsid w:val="00087757"/>
    <w:rsid w:val="00090C65"/>
    <w:rsid w:val="00094FC5"/>
    <w:rsid w:val="00095D09"/>
    <w:rsid w:val="000A1FE0"/>
    <w:rsid w:val="000A3390"/>
    <w:rsid w:val="000A62B5"/>
    <w:rsid w:val="000A6CF8"/>
    <w:rsid w:val="000B011C"/>
    <w:rsid w:val="000B1EEE"/>
    <w:rsid w:val="000B540D"/>
    <w:rsid w:val="000C2B3C"/>
    <w:rsid w:val="000C45E8"/>
    <w:rsid w:val="000D3E76"/>
    <w:rsid w:val="000D3F5D"/>
    <w:rsid w:val="000E6262"/>
    <w:rsid w:val="000F27A8"/>
    <w:rsid w:val="000F7BCD"/>
    <w:rsid w:val="0010399A"/>
    <w:rsid w:val="00106CCE"/>
    <w:rsid w:val="00110E60"/>
    <w:rsid w:val="00113582"/>
    <w:rsid w:val="00115FF8"/>
    <w:rsid w:val="00126F93"/>
    <w:rsid w:val="00127458"/>
    <w:rsid w:val="00135E65"/>
    <w:rsid w:val="001457F5"/>
    <w:rsid w:val="00147990"/>
    <w:rsid w:val="0015189A"/>
    <w:rsid w:val="0015304F"/>
    <w:rsid w:val="00155042"/>
    <w:rsid w:val="00157CE3"/>
    <w:rsid w:val="0016205A"/>
    <w:rsid w:val="00162C14"/>
    <w:rsid w:val="00164146"/>
    <w:rsid w:val="00164A96"/>
    <w:rsid w:val="00165780"/>
    <w:rsid w:val="00165797"/>
    <w:rsid w:val="00177763"/>
    <w:rsid w:val="00177C36"/>
    <w:rsid w:val="001830D6"/>
    <w:rsid w:val="00185F53"/>
    <w:rsid w:val="0018664D"/>
    <w:rsid w:val="0019556C"/>
    <w:rsid w:val="001A39EB"/>
    <w:rsid w:val="001C4543"/>
    <w:rsid w:val="001C5675"/>
    <w:rsid w:val="001C6CF2"/>
    <w:rsid w:val="001D0C17"/>
    <w:rsid w:val="001E6CD0"/>
    <w:rsid w:val="001F01CF"/>
    <w:rsid w:val="001F1155"/>
    <w:rsid w:val="001F7009"/>
    <w:rsid w:val="00203815"/>
    <w:rsid w:val="00207568"/>
    <w:rsid w:val="002078FD"/>
    <w:rsid w:val="00211C83"/>
    <w:rsid w:val="00216E4B"/>
    <w:rsid w:val="00217AED"/>
    <w:rsid w:val="002223E3"/>
    <w:rsid w:val="00222E2D"/>
    <w:rsid w:val="002263B1"/>
    <w:rsid w:val="002423D6"/>
    <w:rsid w:val="0025049B"/>
    <w:rsid w:val="00254E8F"/>
    <w:rsid w:val="00265BC9"/>
    <w:rsid w:val="00265CC8"/>
    <w:rsid w:val="00272E21"/>
    <w:rsid w:val="00275FFC"/>
    <w:rsid w:val="002774EC"/>
    <w:rsid w:val="002860BB"/>
    <w:rsid w:val="00292876"/>
    <w:rsid w:val="00296EA2"/>
    <w:rsid w:val="002A2047"/>
    <w:rsid w:val="002A5ADF"/>
    <w:rsid w:val="002B14E5"/>
    <w:rsid w:val="002B7E57"/>
    <w:rsid w:val="002C29B6"/>
    <w:rsid w:val="002D22B8"/>
    <w:rsid w:val="002F2304"/>
    <w:rsid w:val="00301FE6"/>
    <w:rsid w:val="003046C5"/>
    <w:rsid w:val="0031262E"/>
    <w:rsid w:val="00315687"/>
    <w:rsid w:val="003179FB"/>
    <w:rsid w:val="0032044F"/>
    <w:rsid w:val="003257CA"/>
    <w:rsid w:val="003259E8"/>
    <w:rsid w:val="00331F54"/>
    <w:rsid w:val="00333F27"/>
    <w:rsid w:val="00341B92"/>
    <w:rsid w:val="0034559A"/>
    <w:rsid w:val="0034563E"/>
    <w:rsid w:val="00363606"/>
    <w:rsid w:val="00366AAD"/>
    <w:rsid w:val="00367B41"/>
    <w:rsid w:val="00370208"/>
    <w:rsid w:val="00374DC7"/>
    <w:rsid w:val="00387BE8"/>
    <w:rsid w:val="00391CC1"/>
    <w:rsid w:val="003924B2"/>
    <w:rsid w:val="00397014"/>
    <w:rsid w:val="003A02E3"/>
    <w:rsid w:val="003B606E"/>
    <w:rsid w:val="003B6168"/>
    <w:rsid w:val="003C105F"/>
    <w:rsid w:val="003D2672"/>
    <w:rsid w:val="003D2711"/>
    <w:rsid w:val="003D6111"/>
    <w:rsid w:val="003E05B4"/>
    <w:rsid w:val="003F7786"/>
    <w:rsid w:val="0040411C"/>
    <w:rsid w:val="004105B5"/>
    <w:rsid w:val="00420246"/>
    <w:rsid w:val="0042333C"/>
    <w:rsid w:val="00425B0D"/>
    <w:rsid w:val="00430A34"/>
    <w:rsid w:val="004310E2"/>
    <w:rsid w:val="00431110"/>
    <w:rsid w:val="00442375"/>
    <w:rsid w:val="00446642"/>
    <w:rsid w:val="00454707"/>
    <w:rsid w:val="00470914"/>
    <w:rsid w:val="00470EE5"/>
    <w:rsid w:val="0048015D"/>
    <w:rsid w:val="004825F6"/>
    <w:rsid w:val="0049548A"/>
    <w:rsid w:val="004A7042"/>
    <w:rsid w:val="004B3B07"/>
    <w:rsid w:val="004B4B28"/>
    <w:rsid w:val="004B6378"/>
    <w:rsid w:val="004C15C7"/>
    <w:rsid w:val="004C269A"/>
    <w:rsid w:val="004D01B3"/>
    <w:rsid w:val="004D07AB"/>
    <w:rsid w:val="004D769A"/>
    <w:rsid w:val="004D7723"/>
    <w:rsid w:val="004D7CCB"/>
    <w:rsid w:val="0050002B"/>
    <w:rsid w:val="00500198"/>
    <w:rsid w:val="005043FD"/>
    <w:rsid w:val="005070D5"/>
    <w:rsid w:val="00515374"/>
    <w:rsid w:val="00522248"/>
    <w:rsid w:val="00532B45"/>
    <w:rsid w:val="00533265"/>
    <w:rsid w:val="00533DD5"/>
    <w:rsid w:val="00535F72"/>
    <w:rsid w:val="005407BC"/>
    <w:rsid w:val="00560ADF"/>
    <w:rsid w:val="005612D9"/>
    <w:rsid w:val="005620EE"/>
    <w:rsid w:val="00574AAE"/>
    <w:rsid w:val="0057514F"/>
    <w:rsid w:val="00575738"/>
    <w:rsid w:val="005827D3"/>
    <w:rsid w:val="00582C6E"/>
    <w:rsid w:val="0059199D"/>
    <w:rsid w:val="005A080E"/>
    <w:rsid w:val="005A38AA"/>
    <w:rsid w:val="005A3C18"/>
    <w:rsid w:val="005A3FDA"/>
    <w:rsid w:val="005A5DD3"/>
    <w:rsid w:val="005A5E4C"/>
    <w:rsid w:val="005A7C2B"/>
    <w:rsid w:val="005B4B9F"/>
    <w:rsid w:val="005D12AC"/>
    <w:rsid w:val="005D34B3"/>
    <w:rsid w:val="005D621E"/>
    <w:rsid w:val="005D7AF7"/>
    <w:rsid w:val="005E2CC6"/>
    <w:rsid w:val="005E4FC5"/>
    <w:rsid w:val="005F3573"/>
    <w:rsid w:val="005F7564"/>
    <w:rsid w:val="005F7BA0"/>
    <w:rsid w:val="00601E21"/>
    <w:rsid w:val="00603B0F"/>
    <w:rsid w:val="00604DCF"/>
    <w:rsid w:val="00606B0D"/>
    <w:rsid w:val="0060729C"/>
    <w:rsid w:val="00610501"/>
    <w:rsid w:val="00610C87"/>
    <w:rsid w:val="00612B85"/>
    <w:rsid w:val="006336C0"/>
    <w:rsid w:val="006469F7"/>
    <w:rsid w:val="00656B07"/>
    <w:rsid w:val="006637E5"/>
    <w:rsid w:val="00664364"/>
    <w:rsid w:val="006644D6"/>
    <w:rsid w:val="006920EA"/>
    <w:rsid w:val="00692190"/>
    <w:rsid w:val="00693B95"/>
    <w:rsid w:val="006968FB"/>
    <w:rsid w:val="006A330E"/>
    <w:rsid w:val="006B17A1"/>
    <w:rsid w:val="006D13D3"/>
    <w:rsid w:val="006D4DDB"/>
    <w:rsid w:val="006E3CB3"/>
    <w:rsid w:val="006E61C6"/>
    <w:rsid w:val="006F4D85"/>
    <w:rsid w:val="007050BC"/>
    <w:rsid w:val="00713151"/>
    <w:rsid w:val="00732645"/>
    <w:rsid w:val="00734ACB"/>
    <w:rsid w:val="00756DE1"/>
    <w:rsid w:val="00771887"/>
    <w:rsid w:val="00780BD6"/>
    <w:rsid w:val="007879D7"/>
    <w:rsid w:val="00793F10"/>
    <w:rsid w:val="00795D07"/>
    <w:rsid w:val="007A1013"/>
    <w:rsid w:val="007C136D"/>
    <w:rsid w:val="007D0F49"/>
    <w:rsid w:val="007D21AE"/>
    <w:rsid w:val="007D2BC9"/>
    <w:rsid w:val="007F38B0"/>
    <w:rsid w:val="00816E43"/>
    <w:rsid w:val="008174C4"/>
    <w:rsid w:val="00823A59"/>
    <w:rsid w:val="00830229"/>
    <w:rsid w:val="00837B9E"/>
    <w:rsid w:val="008427D8"/>
    <w:rsid w:val="00846670"/>
    <w:rsid w:val="00846EB4"/>
    <w:rsid w:val="00852F75"/>
    <w:rsid w:val="00856917"/>
    <w:rsid w:val="00864AF4"/>
    <w:rsid w:val="00881B6C"/>
    <w:rsid w:val="00881DC8"/>
    <w:rsid w:val="00884953"/>
    <w:rsid w:val="0089482C"/>
    <w:rsid w:val="00897DFC"/>
    <w:rsid w:val="008B4BDF"/>
    <w:rsid w:val="008C1F0F"/>
    <w:rsid w:val="008E65BC"/>
    <w:rsid w:val="008F3F1A"/>
    <w:rsid w:val="008F442F"/>
    <w:rsid w:val="008F61A0"/>
    <w:rsid w:val="00900F42"/>
    <w:rsid w:val="00901B15"/>
    <w:rsid w:val="0090253D"/>
    <w:rsid w:val="009115E5"/>
    <w:rsid w:val="00932519"/>
    <w:rsid w:val="00936F61"/>
    <w:rsid w:val="0093736F"/>
    <w:rsid w:val="009439B1"/>
    <w:rsid w:val="00946F7E"/>
    <w:rsid w:val="00951A6B"/>
    <w:rsid w:val="0095740F"/>
    <w:rsid w:val="00962D18"/>
    <w:rsid w:val="00964981"/>
    <w:rsid w:val="00965B9C"/>
    <w:rsid w:val="00965F0F"/>
    <w:rsid w:val="00976A60"/>
    <w:rsid w:val="00977040"/>
    <w:rsid w:val="00980F92"/>
    <w:rsid w:val="009831AA"/>
    <w:rsid w:val="0098750A"/>
    <w:rsid w:val="0099020C"/>
    <w:rsid w:val="009B3228"/>
    <w:rsid w:val="009B5ABD"/>
    <w:rsid w:val="009B6EF8"/>
    <w:rsid w:val="009C18A5"/>
    <w:rsid w:val="009D5D3F"/>
    <w:rsid w:val="009E1EE3"/>
    <w:rsid w:val="009F061F"/>
    <w:rsid w:val="009F1FA1"/>
    <w:rsid w:val="009F2129"/>
    <w:rsid w:val="00A073E7"/>
    <w:rsid w:val="00A100D0"/>
    <w:rsid w:val="00A1051B"/>
    <w:rsid w:val="00A11147"/>
    <w:rsid w:val="00A16E7E"/>
    <w:rsid w:val="00A17E33"/>
    <w:rsid w:val="00A24183"/>
    <w:rsid w:val="00A27ED7"/>
    <w:rsid w:val="00A30024"/>
    <w:rsid w:val="00A37306"/>
    <w:rsid w:val="00A402EB"/>
    <w:rsid w:val="00A4267B"/>
    <w:rsid w:val="00A42FC5"/>
    <w:rsid w:val="00A45084"/>
    <w:rsid w:val="00A56048"/>
    <w:rsid w:val="00A638AB"/>
    <w:rsid w:val="00A723C3"/>
    <w:rsid w:val="00A75140"/>
    <w:rsid w:val="00A76738"/>
    <w:rsid w:val="00A925BB"/>
    <w:rsid w:val="00A93C75"/>
    <w:rsid w:val="00A93F07"/>
    <w:rsid w:val="00AA49A2"/>
    <w:rsid w:val="00AA69A7"/>
    <w:rsid w:val="00AA6DB1"/>
    <w:rsid w:val="00AA7343"/>
    <w:rsid w:val="00AB0CB4"/>
    <w:rsid w:val="00AB4608"/>
    <w:rsid w:val="00AE0EB7"/>
    <w:rsid w:val="00B00F0D"/>
    <w:rsid w:val="00B02114"/>
    <w:rsid w:val="00B11ED1"/>
    <w:rsid w:val="00B138B4"/>
    <w:rsid w:val="00B17801"/>
    <w:rsid w:val="00B207B7"/>
    <w:rsid w:val="00B307D2"/>
    <w:rsid w:val="00B35825"/>
    <w:rsid w:val="00B37F2F"/>
    <w:rsid w:val="00B41A3D"/>
    <w:rsid w:val="00B46FC1"/>
    <w:rsid w:val="00B5004B"/>
    <w:rsid w:val="00B56762"/>
    <w:rsid w:val="00B6092C"/>
    <w:rsid w:val="00B671BC"/>
    <w:rsid w:val="00B7118D"/>
    <w:rsid w:val="00B76293"/>
    <w:rsid w:val="00B91549"/>
    <w:rsid w:val="00B9355F"/>
    <w:rsid w:val="00B93744"/>
    <w:rsid w:val="00BA5FDE"/>
    <w:rsid w:val="00BA70FB"/>
    <w:rsid w:val="00BC0313"/>
    <w:rsid w:val="00BD3BA5"/>
    <w:rsid w:val="00BD682F"/>
    <w:rsid w:val="00BE3244"/>
    <w:rsid w:val="00BE68CD"/>
    <w:rsid w:val="00BE7082"/>
    <w:rsid w:val="00BE738B"/>
    <w:rsid w:val="00BF0A39"/>
    <w:rsid w:val="00C07715"/>
    <w:rsid w:val="00C112F8"/>
    <w:rsid w:val="00C237CC"/>
    <w:rsid w:val="00C239A1"/>
    <w:rsid w:val="00C23B3E"/>
    <w:rsid w:val="00C31A02"/>
    <w:rsid w:val="00C41F14"/>
    <w:rsid w:val="00C43A78"/>
    <w:rsid w:val="00C503A0"/>
    <w:rsid w:val="00C54D97"/>
    <w:rsid w:val="00C63A1F"/>
    <w:rsid w:val="00C64FF4"/>
    <w:rsid w:val="00C8278C"/>
    <w:rsid w:val="00C87681"/>
    <w:rsid w:val="00C915B8"/>
    <w:rsid w:val="00C9258E"/>
    <w:rsid w:val="00C93ADB"/>
    <w:rsid w:val="00C97250"/>
    <w:rsid w:val="00CA050C"/>
    <w:rsid w:val="00CA15CB"/>
    <w:rsid w:val="00CA37CD"/>
    <w:rsid w:val="00CB289B"/>
    <w:rsid w:val="00CC4333"/>
    <w:rsid w:val="00CD0128"/>
    <w:rsid w:val="00CD111E"/>
    <w:rsid w:val="00CD4AAD"/>
    <w:rsid w:val="00CE0D5F"/>
    <w:rsid w:val="00CE2DC5"/>
    <w:rsid w:val="00CE34E0"/>
    <w:rsid w:val="00CE51B1"/>
    <w:rsid w:val="00CE5DA3"/>
    <w:rsid w:val="00D13C33"/>
    <w:rsid w:val="00D147C3"/>
    <w:rsid w:val="00D362E7"/>
    <w:rsid w:val="00D6130A"/>
    <w:rsid w:val="00D61341"/>
    <w:rsid w:val="00D67A7A"/>
    <w:rsid w:val="00D76752"/>
    <w:rsid w:val="00D9329D"/>
    <w:rsid w:val="00DB1FF2"/>
    <w:rsid w:val="00DB2040"/>
    <w:rsid w:val="00DB32E7"/>
    <w:rsid w:val="00DB7AF4"/>
    <w:rsid w:val="00DE4EF1"/>
    <w:rsid w:val="00DE782D"/>
    <w:rsid w:val="00DF7FAC"/>
    <w:rsid w:val="00E1162E"/>
    <w:rsid w:val="00E21DB8"/>
    <w:rsid w:val="00E25A3A"/>
    <w:rsid w:val="00E316D1"/>
    <w:rsid w:val="00E4111B"/>
    <w:rsid w:val="00E41A93"/>
    <w:rsid w:val="00E43D35"/>
    <w:rsid w:val="00E51B64"/>
    <w:rsid w:val="00E64E97"/>
    <w:rsid w:val="00E71346"/>
    <w:rsid w:val="00E72DF7"/>
    <w:rsid w:val="00E747C9"/>
    <w:rsid w:val="00E85AFB"/>
    <w:rsid w:val="00E92612"/>
    <w:rsid w:val="00E9328A"/>
    <w:rsid w:val="00E94089"/>
    <w:rsid w:val="00E95C02"/>
    <w:rsid w:val="00E95D3E"/>
    <w:rsid w:val="00E9730B"/>
    <w:rsid w:val="00EB210C"/>
    <w:rsid w:val="00EB6CF2"/>
    <w:rsid w:val="00EB7EE5"/>
    <w:rsid w:val="00EC2910"/>
    <w:rsid w:val="00EC7849"/>
    <w:rsid w:val="00EE0EC1"/>
    <w:rsid w:val="00EF1B3E"/>
    <w:rsid w:val="00EF5A67"/>
    <w:rsid w:val="00F00A0E"/>
    <w:rsid w:val="00F00D10"/>
    <w:rsid w:val="00F06E53"/>
    <w:rsid w:val="00F2272C"/>
    <w:rsid w:val="00F269C1"/>
    <w:rsid w:val="00F315CE"/>
    <w:rsid w:val="00F32DDA"/>
    <w:rsid w:val="00F352FB"/>
    <w:rsid w:val="00F41090"/>
    <w:rsid w:val="00F476FB"/>
    <w:rsid w:val="00F47DB9"/>
    <w:rsid w:val="00F50A86"/>
    <w:rsid w:val="00F62E59"/>
    <w:rsid w:val="00F66E06"/>
    <w:rsid w:val="00F708E0"/>
    <w:rsid w:val="00FA148B"/>
    <w:rsid w:val="00FA640C"/>
    <w:rsid w:val="00FB55C4"/>
    <w:rsid w:val="00FB76A5"/>
    <w:rsid w:val="00FC1623"/>
    <w:rsid w:val="00FC4932"/>
    <w:rsid w:val="00FC553A"/>
    <w:rsid w:val="00FC6F30"/>
    <w:rsid w:val="00FD7A6A"/>
    <w:rsid w:val="00FE0CD4"/>
    <w:rsid w:val="00FE739B"/>
    <w:rsid w:val="00FF07E1"/>
    <w:rsid w:val="00FF3EC3"/>
    <w:rsid w:val="00FF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BD0B"/>
  <w15:chartTrackingRefBased/>
  <w15:docId w15:val="{89820D4E-6CE2-E246-8CF2-6438F45B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DC7"/>
    <w:rPr>
      <w:rFonts w:eastAsiaTheme="majorEastAsia" w:cstheme="majorBidi"/>
      <w:color w:val="272727" w:themeColor="text1" w:themeTint="D8"/>
    </w:rPr>
  </w:style>
  <w:style w:type="paragraph" w:styleId="Title">
    <w:name w:val="Title"/>
    <w:basedOn w:val="Normal"/>
    <w:next w:val="Normal"/>
    <w:link w:val="TitleChar"/>
    <w:uiPriority w:val="10"/>
    <w:qFormat/>
    <w:rsid w:val="00374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DC7"/>
    <w:pPr>
      <w:spacing w:before="160"/>
      <w:jc w:val="center"/>
    </w:pPr>
    <w:rPr>
      <w:i/>
      <w:iCs/>
      <w:color w:val="404040" w:themeColor="text1" w:themeTint="BF"/>
    </w:rPr>
  </w:style>
  <w:style w:type="character" w:customStyle="1" w:styleId="QuoteChar">
    <w:name w:val="Quote Char"/>
    <w:basedOn w:val="DefaultParagraphFont"/>
    <w:link w:val="Quote"/>
    <w:uiPriority w:val="29"/>
    <w:rsid w:val="00374DC7"/>
    <w:rPr>
      <w:i/>
      <w:iCs/>
      <w:color w:val="404040" w:themeColor="text1" w:themeTint="BF"/>
    </w:rPr>
  </w:style>
  <w:style w:type="paragraph" w:styleId="ListParagraph">
    <w:name w:val="List Paragraph"/>
    <w:basedOn w:val="Normal"/>
    <w:uiPriority w:val="34"/>
    <w:qFormat/>
    <w:rsid w:val="00374DC7"/>
    <w:pPr>
      <w:ind w:left="720"/>
      <w:contextualSpacing/>
    </w:pPr>
  </w:style>
  <w:style w:type="character" w:styleId="IntenseEmphasis">
    <w:name w:val="Intense Emphasis"/>
    <w:basedOn w:val="DefaultParagraphFont"/>
    <w:uiPriority w:val="21"/>
    <w:qFormat/>
    <w:rsid w:val="00374DC7"/>
    <w:rPr>
      <w:i/>
      <w:iCs/>
      <w:color w:val="0F4761" w:themeColor="accent1" w:themeShade="BF"/>
    </w:rPr>
  </w:style>
  <w:style w:type="paragraph" w:styleId="IntenseQuote">
    <w:name w:val="Intense Quote"/>
    <w:basedOn w:val="Normal"/>
    <w:next w:val="Normal"/>
    <w:link w:val="IntenseQuoteChar"/>
    <w:uiPriority w:val="30"/>
    <w:qFormat/>
    <w:rsid w:val="00374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DC7"/>
    <w:rPr>
      <w:i/>
      <w:iCs/>
      <w:color w:val="0F4761" w:themeColor="accent1" w:themeShade="BF"/>
    </w:rPr>
  </w:style>
  <w:style w:type="character" w:styleId="IntenseReference">
    <w:name w:val="Intense Reference"/>
    <w:basedOn w:val="DefaultParagraphFont"/>
    <w:uiPriority w:val="32"/>
    <w:qFormat/>
    <w:rsid w:val="00374DC7"/>
    <w:rPr>
      <w:b/>
      <w:bCs/>
      <w:smallCaps/>
      <w:color w:val="0F4761" w:themeColor="accent1" w:themeShade="BF"/>
      <w:spacing w:val="5"/>
    </w:rPr>
  </w:style>
  <w:style w:type="paragraph" w:styleId="NormalWeb">
    <w:name w:val="Normal (Web)"/>
    <w:basedOn w:val="Normal"/>
    <w:uiPriority w:val="99"/>
    <w:unhideWhenUsed/>
    <w:rsid w:val="0089482C"/>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9482C"/>
    <w:rPr>
      <w:b/>
      <w:bCs/>
    </w:rPr>
  </w:style>
  <w:style w:type="paragraph" w:styleId="Footer">
    <w:name w:val="footer"/>
    <w:basedOn w:val="Normal"/>
    <w:link w:val="FooterChar"/>
    <w:uiPriority w:val="99"/>
    <w:unhideWhenUsed/>
    <w:rsid w:val="001A3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9EB"/>
  </w:style>
  <w:style w:type="character" w:styleId="PageNumber">
    <w:name w:val="page number"/>
    <w:basedOn w:val="DefaultParagraphFont"/>
    <w:uiPriority w:val="99"/>
    <w:semiHidden/>
    <w:unhideWhenUsed/>
    <w:rsid w:val="001A39EB"/>
  </w:style>
  <w:style w:type="character" w:styleId="CommentReference">
    <w:name w:val="annotation reference"/>
    <w:basedOn w:val="DefaultParagraphFont"/>
    <w:uiPriority w:val="99"/>
    <w:semiHidden/>
    <w:unhideWhenUsed/>
    <w:rsid w:val="00F06E53"/>
    <w:rPr>
      <w:sz w:val="16"/>
      <w:szCs w:val="16"/>
    </w:rPr>
  </w:style>
  <w:style w:type="paragraph" w:styleId="CommentText">
    <w:name w:val="annotation text"/>
    <w:basedOn w:val="Normal"/>
    <w:link w:val="CommentTextChar"/>
    <w:uiPriority w:val="99"/>
    <w:unhideWhenUsed/>
    <w:rsid w:val="00F06E53"/>
    <w:pPr>
      <w:spacing w:line="240" w:lineRule="auto"/>
    </w:pPr>
    <w:rPr>
      <w:sz w:val="20"/>
      <w:szCs w:val="20"/>
    </w:rPr>
  </w:style>
  <w:style w:type="character" w:customStyle="1" w:styleId="CommentTextChar">
    <w:name w:val="Comment Text Char"/>
    <w:basedOn w:val="DefaultParagraphFont"/>
    <w:link w:val="CommentText"/>
    <w:uiPriority w:val="99"/>
    <w:rsid w:val="00F06E53"/>
    <w:rPr>
      <w:sz w:val="20"/>
      <w:szCs w:val="20"/>
    </w:rPr>
  </w:style>
  <w:style w:type="paragraph" w:styleId="CommentSubject">
    <w:name w:val="annotation subject"/>
    <w:basedOn w:val="CommentText"/>
    <w:next w:val="CommentText"/>
    <w:link w:val="CommentSubjectChar"/>
    <w:uiPriority w:val="99"/>
    <w:semiHidden/>
    <w:unhideWhenUsed/>
    <w:rsid w:val="00F06E53"/>
    <w:rPr>
      <w:b/>
      <w:bCs/>
    </w:rPr>
  </w:style>
  <w:style w:type="character" w:customStyle="1" w:styleId="CommentSubjectChar">
    <w:name w:val="Comment Subject Char"/>
    <w:basedOn w:val="CommentTextChar"/>
    <w:link w:val="CommentSubject"/>
    <w:uiPriority w:val="99"/>
    <w:semiHidden/>
    <w:rsid w:val="00F06E53"/>
    <w:rPr>
      <w:b/>
      <w:bCs/>
      <w:sz w:val="20"/>
      <w:szCs w:val="20"/>
    </w:rPr>
  </w:style>
  <w:style w:type="paragraph" w:styleId="Revision">
    <w:name w:val="Revision"/>
    <w:hidden/>
    <w:uiPriority w:val="99"/>
    <w:semiHidden/>
    <w:rsid w:val="00943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6481">
      <w:marLeft w:val="0"/>
      <w:marRight w:val="0"/>
      <w:marTop w:val="0"/>
      <w:marBottom w:val="0"/>
      <w:divBdr>
        <w:top w:val="none" w:sz="0" w:space="0" w:color="auto"/>
        <w:left w:val="none" w:sz="0" w:space="0" w:color="auto"/>
        <w:bottom w:val="none" w:sz="0" w:space="0" w:color="auto"/>
        <w:right w:val="none" w:sz="0" w:space="0" w:color="auto"/>
      </w:divBdr>
    </w:div>
    <w:div w:id="346293436">
      <w:bodyDiv w:val="1"/>
      <w:marLeft w:val="0"/>
      <w:marRight w:val="0"/>
      <w:marTop w:val="0"/>
      <w:marBottom w:val="0"/>
      <w:divBdr>
        <w:top w:val="none" w:sz="0" w:space="0" w:color="auto"/>
        <w:left w:val="none" w:sz="0" w:space="0" w:color="auto"/>
        <w:bottom w:val="none" w:sz="0" w:space="0" w:color="auto"/>
        <w:right w:val="none" w:sz="0" w:space="0" w:color="auto"/>
      </w:divBdr>
    </w:div>
    <w:div w:id="369379176">
      <w:bodyDiv w:val="1"/>
      <w:marLeft w:val="0"/>
      <w:marRight w:val="0"/>
      <w:marTop w:val="0"/>
      <w:marBottom w:val="0"/>
      <w:divBdr>
        <w:top w:val="none" w:sz="0" w:space="0" w:color="auto"/>
        <w:left w:val="none" w:sz="0" w:space="0" w:color="auto"/>
        <w:bottom w:val="none" w:sz="0" w:space="0" w:color="auto"/>
        <w:right w:val="none" w:sz="0" w:space="0" w:color="auto"/>
      </w:divBdr>
    </w:div>
    <w:div w:id="633751893">
      <w:bodyDiv w:val="1"/>
      <w:marLeft w:val="0"/>
      <w:marRight w:val="0"/>
      <w:marTop w:val="0"/>
      <w:marBottom w:val="0"/>
      <w:divBdr>
        <w:top w:val="none" w:sz="0" w:space="0" w:color="auto"/>
        <w:left w:val="none" w:sz="0" w:space="0" w:color="auto"/>
        <w:bottom w:val="none" w:sz="0" w:space="0" w:color="auto"/>
        <w:right w:val="none" w:sz="0" w:space="0" w:color="auto"/>
      </w:divBdr>
    </w:div>
    <w:div w:id="855340603">
      <w:bodyDiv w:val="1"/>
      <w:marLeft w:val="0"/>
      <w:marRight w:val="0"/>
      <w:marTop w:val="0"/>
      <w:marBottom w:val="0"/>
      <w:divBdr>
        <w:top w:val="none" w:sz="0" w:space="0" w:color="auto"/>
        <w:left w:val="none" w:sz="0" w:space="0" w:color="auto"/>
        <w:bottom w:val="none" w:sz="0" w:space="0" w:color="auto"/>
        <w:right w:val="none" w:sz="0" w:space="0" w:color="auto"/>
      </w:divBdr>
    </w:div>
    <w:div w:id="1032194951">
      <w:bodyDiv w:val="1"/>
      <w:marLeft w:val="0"/>
      <w:marRight w:val="0"/>
      <w:marTop w:val="0"/>
      <w:marBottom w:val="0"/>
      <w:divBdr>
        <w:top w:val="none" w:sz="0" w:space="0" w:color="auto"/>
        <w:left w:val="none" w:sz="0" w:space="0" w:color="auto"/>
        <w:bottom w:val="none" w:sz="0" w:space="0" w:color="auto"/>
        <w:right w:val="none" w:sz="0" w:space="0" w:color="auto"/>
      </w:divBdr>
      <w:divsChild>
        <w:div w:id="152188213">
          <w:marLeft w:val="0"/>
          <w:marRight w:val="0"/>
          <w:marTop w:val="0"/>
          <w:marBottom w:val="0"/>
          <w:divBdr>
            <w:top w:val="none" w:sz="0" w:space="0" w:color="auto"/>
            <w:left w:val="none" w:sz="0" w:space="0" w:color="auto"/>
            <w:bottom w:val="none" w:sz="0" w:space="0" w:color="auto"/>
            <w:right w:val="none" w:sz="0" w:space="0" w:color="auto"/>
          </w:divBdr>
        </w:div>
        <w:div w:id="1035887888">
          <w:marLeft w:val="0"/>
          <w:marRight w:val="0"/>
          <w:marTop w:val="0"/>
          <w:marBottom w:val="0"/>
          <w:divBdr>
            <w:top w:val="none" w:sz="0" w:space="0" w:color="auto"/>
            <w:left w:val="none" w:sz="0" w:space="0" w:color="auto"/>
            <w:bottom w:val="none" w:sz="0" w:space="0" w:color="auto"/>
            <w:right w:val="none" w:sz="0" w:space="0" w:color="auto"/>
          </w:divBdr>
        </w:div>
      </w:divsChild>
    </w:div>
    <w:div w:id="1486506024">
      <w:bodyDiv w:val="1"/>
      <w:marLeft w:val="0"/>
      <w:marRight w:val="0"/>
      <w:marTop w:val="0"/>
      <w:marBottom w:val="0"/>
      <w:divBdr>
        <w:top w:val="none" w:sz="0" w:space="0" w:color="auto"/>
        <w:left w:val="none" w:sz="0" w:space="0" w:color="auto"/>
        <w:bottom w:val="none" w:sz="0" w:space="0" w:color="auto"/>
        <w:right w:val="none" w:sz="0" w:space="0" w:color="auto"/>
      </w:divBdr>
    </w:div>
    <w:div w:id="1551645610">
      <w:bodyDiv w:val="1"/>
      <w:marLeft w:val="0"/>
      <w:marRight w:val="0"/>
      <w:marTop w:val="0"/>
      <w:marBottom w:val="0"/>
      <w:divBdr>
        <w:top w:val="none" w:sz="0" w:space="0" w:color="auto"/>
        <w:left w:val="none" w:sz="0" w:space="0" w:color="auto"/>
        <w:bottom w:val="none" w:sz="0" w:space="0" w:color="auto"/>
        <w:right w:val="none" w:sz="0" w:space="0" w:color="auto"/>
      </w:divBdr>
      <w:divsChild>
        <w:div w:id="1609973356">
          <w:marLeft w:val="0"/>
          <w:marRight w:val="0"/>
          <w:marTop w:val="0"/>
          <w:marBottom w:val="0"/>
          <w:divBdr>
            <w:top w:val="none" w:sz="0" w:space="0" w:color="auto"/>
            <w:left w:val="none" w:sz="0" w:space="0" w:color="auto"/>
            <w:bottom w:val="none" w:sz="0" w:space="0" w:color="auto"/>
            <w:right w:val="none" w:sz="0" w:space="0" w:color="auto"/>
          </w:divBdr>
        </w:div>
        <w:div w:id="1417166388">
          <w:marLeft w:val="0"/>
          <w:marRight w:val="0"/>
          <w:marTop w:val="0"/>
          <w:marBottom w:val="0"/>
          <w:divBdr>
            <w:top w:val="none" w:sz="0" w:space="0" w:color="auto"/>
            <w:left w:val="none" w:sz="0" w:space="0" w:color="auto"/>
            <w:bottom w:val="none" w:sz="0" w:space="0" w:color="auto"/>
            <w:right w:val="none" w:sz="0" w:space="0" w:color="auto"/>
          </w:divBdr>
        </w:div>
      </w:divsChild>
    </w:div>
    <w:div w:id="1637029907">
      <w:marLeft w:val="0"/>
      <w:marRight w:val="0"/>
      <w:marTop w:val="0"/>
      <w:marBottom w:val="0"/>
      <w:divBdr>
        <w:top w:val="none" w:sz="0" w:space="0" w:color="auto"/>
        <w:left w:val="none" w:sz="0" w:space="0" w:color="auto"/>
        <w:bottom w:val="none" w:sz="0" w:space="0" w:color="auto"/>
        <w:right w:val="none" w:sz="0" w:space="0" w:color="auto"/>
      </w:divBdr>
    </w:div>
    <w:div w:id="1746295960">
      <w:bodyDiv w:val="1"/>
      <w:marLeft w:val="0"/>
      <w:marRight w:val="0"/>
      <w:marTop w:val="0"/>
      <w:marBottom w:val="0"/>
      <w:divBdr>
        <w:top w:val="none" w:sz="0" w:space="0" w:color="auto"/>
        <w:left w:val="none" w:sz="0" w:space="0" w:color="auto"/>
        <w:bottom w:val="none" w:sz="0" w:space="0" w:color="auto"/>
        <w:right w:val="none" w:sz="0" w:space="0" w:color="auto"/>
      </w:divBdr>
    </w:div>
    <w:div w:id="178546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4761E4C1EA84795344B4D3EDBFB67" ma:contentTypeVersion="20" ma:contentTypeDescription="Create a new document." ma:contentTypeScope="" ma:versionID="6a4ac611f20bc2362b3a8c06365c5eba">
  <xsd:schema xmlns:xsd="http://www.w3.org/2001/XMLSchema" xmlns:xs="http://www.w3.org/2001/XMLSchema" xmlns:p="http://schemas.microsoft.com/office/2006/metadata/properties" xmlns:ns1="http://schemas.microsoft.com/sharepoint/v3" xmlns:ns3="ce6ed3d8-c93b-41c6-84ed-92a41db954a9" xmlns:ns4="d543de59-f9cf-4fc7-81c4-d3a8378fd0d7" targetNamespace="http://schemas.microsoft.com/office/2006/metadata/properties" ma:root="true" ma:fieldsID="4fc9978b4eb4499873d00e6e5e658aa3" ns1:_="" ns3:_="" ns4:_="">
    <xsd:import namespace="http://schemas.microsoft.com/sharepoint/v3"/>
    <xsd:import namespace="ce6ed3d8-c93b-41c6-84ed-92a41db954a9"/>
    <xsd:import namespace="d543de59-f9cf-4fc7-81c4-d3a8378fd0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ed3d8-c93b-41c6-84ed-92a41db95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3de59-f9cf-4fc7-81c4-d3a8378fd0d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e6ed3d8-c93b-41c6-84ed-92a41db954a9"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65CC-8ED6-4F18-99A3-868303D0F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6ed3d8-c93b-41c6-84ed-92a41db954a9"/>
    <ds:schemaRef ds:uri="d543de59-f9cf-4fc7-81c4-d3a8378fd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0F40C-E486-48FE-9E46-6B90BD88DB1C}">
  <ds:schemaRefs>
    <ds:schemaRef ds:uri="http://schemas.microsoft.com/office/2006/metadata/properties"/>
    <ds:schemaRef ds:uri="http://schemas.microsoft.com/office/infopath/2007/PartnerControls"/>
    <ds:schemaRef ds:uri="http://schemas.microsoft.com/sharepoint/v3"/>
    <ds:schemaRef ds:uri="ce6ed3d8-c93b-41c6-84ed-92a41db954a9"/>
  </ds:schemaRefs>
</ds:datastoreItem>
</file>

<file path=customXml/itemProps3.xml><?xml version="1.0" encoding="utf-8"?>
<ds:datastoreItem xmlns:ds="http://schemas.openxmlformats.org/officeDocument/2006/customXml" ds:itemID="{2113BE33-BB1E-4734-B37E-0855EB3598D4}">
  <ds:schemaRefs>
    <ds:schemaRef ds:uri="http://schemas.microsoft.com/sharepoint/v3/contenttype/forms"/>
  </ds:schemaRefs>
</ds:datastoreItem>
</file>

<file path=customXml/itemProps4.xml><?xml version="1.0" encoding="utf-8"?>
<ds:datastoreItem xmlns:ds="http://schemas.openxmlformats.org/officeDocument/2006/customXml" ds:itemID="{D4E2B941-687A-4CB9-BC6C-53F21A43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1446</Words>
  <Characters>8650</Characters>
  <Application>Microsoft Office Word</Application>
  <DocSecurity>0</DocSecurity>
  <Lines>173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Bekkerman</dc:creator>
  <cp:keywords/>
  <dc:description/>
  <cp:lastModifiedBy>Richard Rhodes</cp:lastModifiedBy>
  <cp:revision>2</cp:revision>
  <cp:lastPrinted>2026-01-30T17:26:00Z</cp:lastPrinted>
  <dcterms:created xsi:type="dcterms:W3CDTF">2026-02-02T16:54:00Z</dcterms:created>
  <dcterms:modified xsi:type="dcterms:W3CDTF">2026-02-02T16:54:00Z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0x0101001144761E4C1EA84795344B4D3EDBFB67</vt:lpwstr>
  </property>
</Properties>
</file>